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7C3D" w14:textId="161EF871"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Guidelines for Front</w:t>
      </w:r>
      <w:r w:rsidR="006532C6">
        <w:rPr>
          <w:rFonts w:ascii="Arial Unicode MS" w:eastAsia="Arial Unicode MS" w:hAnsi="Arial Unicode MS" w:cs="Arial Unicode MS"/>
          <w:b/>
          <w:sz w:val="44"/>
          <w:szCs w:val="44"/>
        </w:rPr>
        <w:t xml:space="preserve"> R</w:t>
      </w:r>
      <w:bookmarkStart w:id="0" w:name="_GoBack"/>
      <w:bookmarkEnd w:id="0"/>
      <w:r w:rsidRPr="001D1304">
        <w:rPr>
          <w:rFonts w:ascii="Arial Unicode MS" w:eastAsia="Arial Unicode MS" w:hAnsi="Arial Unicode MS" w:cs="Arial Unicode MS"/>
          <w:b/>
          <w:sz w:val="44"/>
          <w:szCs w:val="44"/>
        </w:rPr>
        <w:t>unner Public Procurers</w:t>
      </w:r>
    </w:p>
    <w:p w14:paraId="73111DED" w14:textId="77777777" w:rsidR="00303312" w:rsidRPr="00B67515" w:rsidRDefault="00303312" w:rsidP="00303312">
      <w:pPr>
        <w:pStyle w:val="Header"/>
        <w:rPr>
          <w:rFonts w:ascii="Arial" w:hAnsi="Arial" w:cs="Arial"/>
          <w:sz w:val="12"/>
          <w:szCs w:val="12"/>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4D2DFC" w:rsidRPr="00B67515" w14:paraId="65EF4D94" w14:textId="77777777" w:rsidTr="004D2DFC">
        <w:trPr>
          <w:trHeight w:val="1474"/>
        </w:trPr>
        <w:tc>
          <w:tcPr>
            <w:tcW w:w="6668" w:type="dxa"/>
            <w:vAlign w:val="center"/>
          </w:tcPr>
          <w:p w14:paraId="72B61158" w14:textId="77777777" w:rsidR="004D2DFC" w:rsidRPr="00B67515" w:rsidRDefault="00237A37" w:rsidP="001D1304">
            <w:pPr>
              <w:pStyle w:val="Header"/>
              <w:rPr>
                <w:rFonts w:ascii="Arial" w:hAnsi="Arial"/>
                <w:sz w:val="52"/>
              </w:rPr>
            </w:pPr>
            <w:r>
              <w:rPr>
                <w:rFonts w:ascii="Arial" w:hAnsi="Arial"/>
                <w:sz w:val="52"/>
              </w:rPr>
              <w:t>Dishwashers</w:t>
            </w:r>
          </w:p>
          <w:p w14:paraId="4DC44DBC" w14:textId="77777777" w:rsidR="004D2DFC" w:rsidRPr="00B67515" w:rsidRDefault="004D2DFC" w:rsidP="001D1304">
            <w:pPr>
              <w:pStyle w:val="Header"/>
              <w:rPr>
                <w:rFonts w:ascii="Arial" w:hAnsi="Arial"/>
                <w:sz w:val="16"/>
                <w:szCs w:val="16"/>
              </w:rPr>
            </w:pPr>
          </w:p>
          <w:p w14:paraId="7EE70D5E" w14:textId="26613C89" w:rsidR="004D2DFC" w:rsidRPr="00B67515" w:rsidRDefault="001D1304" w:rsidP="001D1304">
            <w:pPr>
              <w:pStyle w:val="Header"/>
              <w:rPr>
                <w:rFonts w:ascii="Arial" w:hAnsi="Arial"/>
                <w:sz w:val="28"/>
                <w:szCs w:val="28"/>
              </w:rPr>
            </w:pPr>
            <w:hyperlink r:id="rId8" w:history="1">
              <w:r w:rsidRPr="008D7CBA">
                <w:rPr>
                  <w:rStyle w:val="Hyperlink"/>
                  <w:rFonts w:ascii="Arial" w:hAnsi="Arial"/>
                  <w:szCs w:val="24"/>
                  <w:lang w:val="fr-CH"/>
                </w:rPr>
                <w:t xml:space="preserve">Hélène </w:t>
              </w:r>
              <w:proofErr w:type="spellStart"/>
              <w:r w:rsidRPr="008D7CBA">
                <w:rPr>
                  <w:rStyle w:val="Hyperlink"/>
                  <w:rFonts w:ascii="Arial" w:hAnsi="Arial"/>
                  <w:szCs w:val="24"/>
                  <w:lang w:val="fr-CH"/>
                </w:rPr>
                <w:t>Rochat</w:t>
              </w:r>
              <w:proofErr w:type="spellEnd"/>
            </w:hyperlink>
            <w:r w:rsidRPr="008D7CBA">
              <w:rPr>
                <w:rFonts w:ascii="Arial" w:hAnsi="Arial"/>
                <w:szCs w:val="24"/>
                <w:lang w:val="fr-CH"/>
              </w:rPr>
              <w:t xml:space="preserve">, </w:t>
            </w:r>
            <w:proofErr w:type="spellStart"/>
            <w:r w:rsidRPr="008D7CBA">
              <w:rPr>
                <w:rFonts w:ascii="Arial" w:hAnsi="Arial"/>
                <w:szCs w:val="24"/>
                <w:lang w:val="fr-CH"/>
              </w:rPr>
              <w:t>November</w:t>
            </w:r>
            <w:proofErr w:type="spellEnd"/>
            <w:r w:rsidRPr="008D7CBA">
              <w:rPr>
                <w:rFonts w:ascii="Arial" w:hAnsi="Arial"/>
                <w:szCs w:val="24"/>
                <w:lang w:val="fr-CH"/>
              </w:rPr>
              <w:t xml:space="preserve"> 2019</w:t>
            </w:r>
          </w:p>
        </w:tc>
        <w:tc>
          <w:tcPr>
            <w:tcW w:w="2358" w:type="dxa"/>
            <w:vAlign w:val="center"/>
          </w:tcPr>
          <w:p w14:paraId="00F8DAD2" w14:textId="77777777" w:rsidR="004D2DFC" w:rsidRPr="00B67515" w:rsidRDefault="00B8371D" w:rsidP="007711DE">
            <w:pPr>
              <w:pStyle w:val="Header"/>
              <w:jc w:val="center"/>
            </w:pPr>
            <w:r>
              <w:rPr>
                <w:noProof/>
                <w:lang w:val="pt-PT" w:eastAsia="pt-PT"/>
              </w:rPr>
              <w:drawing>
                <wp:inline distT="0" distB="0" distL="0" distR="0" wp14:anchorId="317B9A9D" wp14:editId="6DE74AEE">
                  <wp:extent cx="1009650" cy="1009650"/>
                  <wp:effectExtent l="1905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srcRect/>
                          <a:stretch>
                            <a:fillRect/>
                          </a:stretch>
                        </pic:blipFill>
                        <pic:spPr bwMode="auto">
                          <a:xfrm>
                            <a:off x="0" y="0"/>
                            <a:ext cx="1009650" cy="1009650"/>
                          </a:xfrm>
                          <a:prstGeom prst="rect">
                            <a:avLst/>
                          </a:prstGeom>
                          <a:noFill/>
                          <a:ln w="9525">
                            <a:noFill/>
                            <a:miter lim="800000"/>
                            <a:headEnd/>
                            <a:tailEnd/>
                          </a:ln>
                        </pic:spPr>
                      </pic:pic>
                    </a:graphicData>
                  </a:graphic>
                </wp:inline>
              </w:drawing>
            </w: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06FB50D9" w14:textId="77777777" w:rsidR="00303312" w:rsidRPr="00B67515" w:rsidRDefault="00303312" w:rsidP="00303312">
      <w:pPr>
        <w:pStyle w:val="Heading1"/>
        <w:spacing w:before="60" w:line="300" w:lineRule="exact"/>
        <w:rPr>
          <w:rFonts w:ascii="Arial" w:hAnsi="Arial" w:cs="Arial"/>
          <w:lang w:val="en-GB"/>
        </w:rPr>
      </w:pPr>
      <w:r w:rsidRPr="00B67515">
        <w:rPr>
          <w:rFonts w:ascii="Arial" w:hAnsi="Arial" w:cs="Arial"/>
          <w:lang w:val="en-GB"/>
        </w:rPr>
        <w:t>Why follow Topten criteria?</w:t>
      </w:r>
    </w:p>
    <w:p w14:paraId="72594947" w14:textId="77777777" w:rsidR="00303312" w:rsidRPr="00B67515" w:rsidRDefault="00303312" w:rsidP="00303312">
      <w:pPr>
        <w:spacing w:after="0"/>
        <w:jc w:val="both"/>
        <w:rPr>
          <w:rFonts w:ascii="Arial" w:hAnsi="Arial" w:cs="Arial"/>
          <w:sz w:val="20"/>
        </w:rPr>
      </w:pPr>
    </w:p>
    <w:p w14:paraId="665D2EB0" w14:textId="6CEACA55"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 Pro (</w:t>
      </w:r>
      <w:hyperlink r:id="rId12" w:history="1">
        <w:r w:rsidR="001D1304">
          <w:rPr>
            <w:rStyle w:val="Hyperlink"/>
            <w:rFonts w:ascii="Arial" w:hAnsi="Arial"/>
            <w:b/>
            <w:sz w:val="20"/>
          </w:rPr>
          <w:t>www.topten.eu/pro</w:t>
        </w:r>
      </w:hyperlink>
      <w:r w:rsidRPr="00B67515">
        <w:rPr>
          <w:rFonts w:ascii="Arial" w:hAnsi="Arial"/>
          <w:sz w:val="20"/>
        </w:rPr>
        <w:t xml:space="preserve">) 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14:paraId="1FD5068F" w14:textId="0D94A937"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237A37">
        <w:rPr>
          <w:rFonts w:ascii="Arial" w:hAnsi="Arial"/>
          <w:sz w:val="20"/>
        </w:rPr>
        <w:t>dishwashers</w:t>
      </w:r>
      <w:r>
        <w:rPr>
          <w:rFonts w:ascii="Arial" w:hAnsi="Arial"/>
          <w:sz w:val="20"/>
        </w:rPr>
        <w:t xml:space="preserve"> </w:t>
      </w:r>
      <w:r w:rsidRPr="00B67515">
        <w:rPr>
          <w:rFonts w:ascii="Arial" w:hAnsi="Arial"/>
          <w:sz w:val="20"/>
        </w:rPr>
        <w:t xml:space="preserve">displayed on </w:t>
      </w:r>
      <w:hyperlink r:id="rId13" w:history="1">
        <w:r w:rsidRPr="00B67515">
          <w:rPr>
            <w:rStyle w:val="Hyperlink"/>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proofErr w:type="spellStart"/>
        <w:r w:rsidRPr="006230A3">
          <w:rPr>
            <w:rStyle w:val="Hyperlink"/>
            <w:rFonts w:ascii="Arial" w:hAnsi="Arial"/>
            <w:b/>
            <w:sz w:val="20"/>
          </w:rPr>
          <w:t>Topten</w:t>
        </w:r>
        <w:proofErr w:type="spellEnd"/>
        <w:r w:rsidRPr="006230A3">
          <w:rPr>
            <w:rStyle w:val="Hyperlink"/>
            <w:rFonts w:ascii="Arial" w:hAnsi="Arial"/>
            <w:b/>
            <w:sz w:val="20"/>
          </w:rPr>
          <w:t xml:space="preserve"> selection criteria</w:t>
        </w:r>
      </w:hyperlink>
      <w:r w:rsidRPr="00B67515">
        <w:rPr>
          <w:rFonts w:ascii="Arial" w:hAnsi="Arial"/>
          <w:sz w:val="20"/>
        </w:rPr>
        <w:t>.</w:t>
      </w:r>
    </w:p>
    <w:p w14:paraId="4A694FA6" w14:textId="77777777"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 xml:space="preserve">Topten.eu Pro links to national partners Topten Pro websites and is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B67515" w:rsidRDefault="00303312" w:rsidP="00303312">
      <w:pPr>
        <w:pBdr>
          <w:bottom w:val="single" w:sz="4" w:space="1" w:color="auto"/>
        </w:pBdr>
        <w:spacing w:after="0" w:line="300" w:lineRule="exact"/>
        <w:jc w:val="both"/>
        <w:rPr>
          <w:rFonts w:ascii="Arial" w:hAnsi="Arial" w:cs="Arial"/>
          <w:sz w:val="20"/>
        </w:rPr>
      </w:pPr>
    </w:p>
    <w:p w14:paraId="304DA021" w14:textId="77777777" w:rsidR="00775FFC" w:rsidRPr="00B67515" w:rsidRDefault="00775FFC" w:rsidP="00775FFC">
      <w:pPr>
        <w:spacing w:after="0" w:line="300" w:lineRule="exact"/>
        <w:rPr>
          <w:rFonts w:ascii="Arial" w:hAnsi="Arial" w:cs="Arial"/>
          <w:sz w:val="20"/>
        </w:rPr>
      </w:pPr>
    </w:p>
    <w:p w14:paraId="2D04E157" w14:textId="77777777" w:rsidR="00775FFC" w:rsidRPr="00B67515" w:rsidRDefault="00775FFC" w:rsidP="00775FFC">
      <w:pPr>
        <w:pStyle w:val="Heading1"/>
        <w:spacing w:before="60" w:line="300" w:lineRule="exact"/>
        <w:rPr>
          <w:rFonts w:ascii="Arial" w:hAnsi="Arial" w:cs="Arial"/>
          <w:lang w:val="en-GB"/>
        </w:rPr>
      </w:pPr>
      <w:r w:rsidRPr="00B67515">
        <w:rPr>
          <w:rFonts w:ascii="Arial" w:hAnsi="Arial" w:cs="Arial"/>
          <w:lang w:val="en-GB"/>
        </w:rPr>
        <w:t>How much can you save?</w:t>
      </w:r>
    </w:p>
    <w:p w14:paraId="2F4587CB" w14:textId="77777777" w:rsidR="00775FFC" w:rsidRPr="00B67515" w:rsidRDefault="00775FFC" w:rsidP="00775FFC">
      <w:pPr>
        <w:spacing w:after="0"/>
        <w:jc w:val="both"/>
        <w:rPr>
          <w:rFonts w:ascii="Arial" w:hAnsi="Arial" w:cs="Arial"/>
          <w:sz w:val="20"/>
        </w:rPr>
      </w:pPr>
    </w:p>
    <w:p w14:paraId="197751A3" w14:textId="77777777" w:rsidR="007711DE" w:rsidRDefault="00070C1A" w:rsidP="00485EB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category dishwashers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freestanding and built-in models, with </w:t>
      </w:r>
      <w:r w:rsidR="000E3772">
        <w:rPr>
          <w:rFonts w:ascii="Arial" w:hAnsi="Arial" w:cs="Arial"/>
          <w:sz w:val="20"/>
        </w:rPr>
        <w:t xml:space="preserve">different </w:t>
      </w:r>
      <w:r w:rsidR="00237A37">
        <w:rPr>
          <w:rFonts w:ascii="Arial" w:hAnsi="Arial" w:cs="Arial"/>
          <w:sz w:val="20"/>
        </w:rPr>
        <w:t>number of place settings</w:t>
      </w:r>
      <w:r w:rsidR="000E3772">
        <w:rPr>
          <w:rFonts w:ascii="Arial" w:hAnsi="Arial" w:cs="Arial"/>
          <w:sz w:val="20"/>
        </w:rPr>
        <w:t>.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11839A5B" w14:textId="77777777" w:rsidR="00173AA2" w:rsidRPr="00B67515" w:rsidRDefault="00173AA2" w:rsidP="00173AA2">
      <w:pPr>
        <w:spacing w:after="0" w:line="300" w:lineRule="exact"/>
        <w:jc w:val="both"/>
        <w:rPr>
          <w:rFonts w:ascii="Arial" w:hAnsi="Arial" w:cs="Arial"/>
          <w:sz w:val="20"/>
        </w:rPr>
      </w:pPr>
    </w:p>
    <w:tbl>
      <w:tblPr>
        <w:tblW w:w="6663" w:type="dxa"/>
        <w:tblCellMar>
          <w:left w:w="0" w:type="dxa"/>
          <w:right w:w="0" w:type="dxa"/>
        </w:tblCellMar>
        <w:tblLook w:val="04A0" w:firstRow="1" w:lastRow="0" w:firstColumn="1" w:lastColumn="0" w:noHBand="0" w:noVBand="1"/>
      </w:tblPr>
      <w:tblGrid>
        <w:gridCol w:w="1560"/>
        <w:gridCol w:w="5103"/>
      </w:tblGrid>
      <w:tr w:rsidR="00433CD5" w:rsidRPr="00B67515" w14:paraId="618B6C10" w14:textId="77777777" w:rsidTr="006020A0">
        <w:trPr>
          <w:trHeight w:val="351"/>
        </w:trPr>
        <w:tc>
          <w:tcPr>
            <w:tcW w:w="1560" w:type="dxa"/>
            <w:vMerge w:val="restart"/>
            <w:vAlign w:val="center"/>
          </w:tcPr>
          <w:p w14:paraId="00C55B1F" w14:textId="77777777" w:rsidR="006020A0" w:rsidRDefault="00E1727D" w:rsidP="006020A0">
            <w:pPr>
              <w:spacing w:after="60" w:line="300" w:lineRule="exact"/>
              <w:rPr>
                <w:rFonts w:ascii="Arial" w:hAnsi="Arial" w:cs="Arial"/>
                <w:sz w:val="20"/>
              </w:rPr>
            </w:pPr>
            <w:r>
              <w:rPr>
                <w:noProof/>
                <w:lang w:val="de-DE" w:eastAsia="de-DE"/>
              </w:rPr>
              <mc:AlternateContent>
                <mc:Choice Requires="wps">
                  <w:drawing>
                    <wp:anchor distT="0" distB="0" distL="114300" distR="114300" simplePos="0" relativeHeight="251656704" behindDoc="0" locked="0" layoutInCell="1" allowOverlap="1" wp14:anchorId="2577A47C" wp14:editId="79EDEA9B">
                      <wp:simplePos x="0" y="0"/>
                      <wp:positionH relativeFrom="column">
                        <wp:posOffset>859155</wp:posOffset>
                      </wp:positionH>
                      <wp:positionV relativeFrom="paragraph">
                        <wp:posOffset>26670</wp:posOffset>
                      </wp:positionV>
                      <wp:extent cx="205740" cy="6096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E76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2.1pt;width:16.2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"/>
                  </w:pict>
                </mc:Fallback>
              </mc:AlternateContent>
            </w:r>
          </w:p>
          <w:p w14:paraId="2E45615F" w14:textId="77777777" w:rsidR="00433CD5" w:rsidRPr="00B67515" w:rsidRDefault="00433CD5" w:rsidP="006020A0">
            <w:pPr>
              <w:spacing w:line="300" w:lineRule="exact"/>
              <w:rPr>
                <w:rFonts w:ascii="Arial" w:hAnsi="Arial" w:cs="Arial"/>
                <w:sz w:val="20"/>
              </w:rPr>
            </w:pPr>
            <w:r w:rsidRPr="00B67515">
              <w:rPr>
                <w:rFonts w:ascii="Arial" w:hAnsi="Arial" w:cs="Arial"/>
                <w:sz w:val="20"/>
              </w:rPr>
              <w:t>Assumptions</w:t>
            </w:r>
          </w:p>
        </w:tc>
        <w:tc>
          <w:tcPr>
            <w:tcW w:w="5103" w:type="dxa"/>
            <w:vAlign w:val="center"/>
          </w:tcPr>
          <w:p w14:paraId="36B53A54" w14:textId="55FB7ACE" w:rsidR="00433CD5" w:rsidRPr="00B67515" w:rsidRDefault="00825932" w:rsidP="00E71C45">
            <w:pPr>
              <w:pStyle w:val="ListaColorida-Cor11"/>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Lifetime</w:t>
            </w:r>
            <w:r w:rsidR="00433CD5" w:rsidRPr="00B67515">
              <w:rPr>
                <w:rFonts w:ascii="Arial" w:hAnsi="Arial" w:cs="Arial"/>
                <w:sz w:val="20"/>
              </w:rPr>
              <w:t xml:space="preserve"> expectation: </w:t>
            </w:r>
            <w:r w:rsidR="00E71C45">
              <w:rPr>
                <w:rFonts w:ascii="Arial" w:hAnsi="Arial" w:cs="Arial"/>
                <w:sz w:val="20"/>
              </w:rPr>
              <w:t>15 years</w:t>
            </w:r>
          </w:p>
        </w:tc>
      </w:tr>
      <w:tr w:rsidR="00433CD5" w:rsidRPr="00B67515" w14:paraId="246C761C" w14:textId="77777777" w:rsidTr="006020A0">
        <w:trPr>
          <w:trHeight w:val="351"/>
        </w:trPr>
        <w:tc>
          <w:tcPr>
            <w:tcW w:w="1560" w:type="dxa"/>
            <w:vMerge/>
            <w:vAlign w:val="center"/>
          </w:tcPr>
          <w:p w14:paraId="3CBD852B" w14:textId="77777777" w:rsidR="00433CD5" w:rsidRPr="00B67515" w:rsidRDefault="00433CD5" w:rsidP="00C0390D">
            <w:pPr>
              <w:spacing w:line="300" w:lineRule="exact"/>
              <w:rPr>
                <w:rFonts w:ascii="Arial" w:hAnsi="Arial" w:cs="Arial"/>
                <w:sz w:val="20"/>
              </w:rPr>
            </w:pPr>
          </w:p>
        </w:tc>
        <w:tc>
          <w:tcPr>
            <w:tcW w:w="5103" w:type="dxa"/>
            <w:vAlign w:val="center"/>
          </w:tcPr>
          <w:p w14:paraId="4DAA96EA" w14:textId="77777777" w:rsidR="00433CD5" w:rsidRPr="00B67515" w:rsidRDefault="00E71C45" w:rsidP="0038382C">
            <w:pPr>
              <w:pStyle w:val="ListaColorida-Cor11"/>
              <w:numPr>
                <w:ilvl w:val="0"/>
                <w:numId w:val="11"/>
              </w:numPr>
              <w:tabs>
                <w:tab w:val="left" w:pos="283"/>
              </w:tabs>
              <w:spacing w:after="0" w:line="300" w:lineRule="exact"/>
              <w:ind w:left="141" w:firstLine="0"/>
              <w:rPr>
                <w:rFonts w:ascii="Arial" w:hAnsi="Arial" w:cs="Arial"/>
                <w:sz w:val="20"/>
              </w:rPr>
            </w:pPr>
            <w:r>
              <w:rPr>
                <w:rFonts w:ascii="Arial" w:hAnsi="Arial" w:cs="Arial"/>
                <w:sz w:val="20"/>
              </w:rPr>
              <w:t>Water cost</w:t>
            </w:r>
            <w:r w:rsidR="00433CD5" w:rsidRPr="00B67515">
              <w:rPr>
                <w:rFonts w:ascii="Arial" w:hAnsi="Arial" w:cs="Arial"/>
                <w:sz w:val="20"/>
              </w:rPr>
              <w:t xml:space="preserve">: </w:t>
            </w:r>
            <w:r w:rsidR="0038382C">
              <w:rPr>
                <w:rFonts w:ascii="Arial" w:hAnsi="Arial" w:cs="Arial"/>
                <w:sz w:val="20"/>
              </w:rPr>
              <w:t>2</w:t>
            </w:r>
            <w:r w:rsidR="00C90DE8">
              <w:rPr>
                <w:rFonts w:ascii="Arial" w:hAnsi="Arial" w:cs="Arial"/>
                <w:sz w:val="20"/>
              </w:rPr>
              <w:t>,</w:t>
            </w:r>
            <w:r w:rsidR="0038382C">
              <w:rPr>
                <w:rFonts w:ascii="Arial" w:hAnsi="Arial" w:cs="Arial"/>
                <w:sz w:val="20"/>
              </w:rPr>
              <w:t>6</w:t>
            </w:r>
            <w:r w:rsidR="00C90DE8">
              <w:rPr>
                <w:rFonts w:ascii="Arial" w:hAnsi="Arial" w:cs="Arial"/>
                <w:sz w:val="20"/>
              </w:rPr>
              <w:t xml:space="preserve"> </w:t>
            </w:r>
            <w:r>
              <w:rPr>
                <w:rFonts w:ascii="Arial" w:hAnsi="Arial" w:cs="Arial"/>
                <w:sz w:val="20"/>
              </w:rPr>
              <w:t>€/m</w:t>
            </w:r>
            <w:r w:rsidRPr="00E71C45">
              <w:rPr>
                <w:rFonts w:ascii="Arial" w:hAnsi="Arial" w:cs="Arial"/>
                <w:sz w:val="20"/>
                <w:vertAlign w:val="superscript"/>
              </w:rPr>
              <w:t>3</w:t>
            </w:r>
          </w:p>
        </w:tc>
      </w:tr>
      <w:tr w:rsidR="00433CD5" w:rsidRPr="00B67515" w14:paraId="1CD343E1" w14:textId="77777777" w:rsidTr="006020A0">
        <w:trPr>
          <w:trHeight w:val="351"/>
        </w:trPr>
        <w:tc>
          <w:tcPr>
            <w:tcW w:w="1560" w:type="dxa"/>
            <w:vMerge/>
            <w:vAlign w:val="center"/>
          </w:tcPr>
          <w:p w14:paraId="6FFBE79C" w14:textId="77777777" w:rsidR="00433CD5" w:rsidRPr="00B67515" w:rsidRDefault="00433CD5" w:rsidP="00C0390D">
            <w:pPr>
              <w:spacing w:line="300" w:lineRule="exact"/>
              <w:rPr>
                <w:rFonts w:ascii="Arial" w:hAnsi="Arial" w:cs="Arial"/>
                <w:sz w:val="20"/>
              </w:rPr>
            </w:pPr>
          </w:p>
        </w:tc>
        <w:tc>
          <w:tcPr>
            <w:tcW w:w="5103" w:type="dxa"/>
            <w:vAlign w:val="center"/>
          </w:tcPr>
          <w:p w14:paraId="2DF14AE7" w14:textId="77777777" w:rsidR="00433CD5" w:rsidRPr="00B67515" w:rsidRDefault="00433CD5" w:rsidP="00C0390D">
            <w:pPr>
              <w:pStyle w:val="ListaColorida-Cor11"/>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0,20 €/kWh</w:t>
            </w:r>
          </w:p>
        </w:tc>
      </w:tr>
    </w:tbl>
    <w:p w14:paraId="6FDFDEE9" w14:textId="77777777" w:rsidR="00300F6C" w:rsidRPr="00B67515" w:rsidRDefault="00300F6C" w:rsidP="00173AA2">
      <w:pPr>
        <w:spacing w:line="240" w:lineRule="exact"/>
        <w:jc w:val="both"/>
        <w:rPr>
          <w:rFonts w:ascii="Arial" w:hAnsi="Arial" w:cs="Arial"/>
          <w:sz w:val="20"/>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gridCol w:w="58"/>
        <w:gridCol w:w="1587"/>
        <w:gridCol w:w="1702"/>
      </w:tblGrid>
      <w:tr w:rsidR="00477685" w:rsidRPr="00B67515" w14:paraId="1A34E4E5" w14:textId="77777777" w:rsidTr="00E71C45">
        <w:trPr>
          <w:trHeight w:val="437"/>
          <w:jc w:val="center"/>
        </w:trPr>
        <w:tc>
          <w:tcPr>
            <w:tcW w:w="2435" w:type="dxa"/>
            <w:tcBorders>
              <w:top w:val="nil"/>
              <w:left w:val="nil"/>
              <w:bottom w:val="single" w:sz="4" w:space="0" w:color="auto"/>
              <w:right w:val="single" w:sz="4" w:space="0" w:color="auto"/>
            </w:tcBorders>
            <w:vAlign w:val="center"/>
          </w:tcPr>
          <w:p w14:paraId="7A77781E" w14:textId="77777777" w:rsidR="00477685" w:rsidRPr="00B67515" w:rsidRDefault="00477685" w:rsidP="00544871">
            <w:pPr>
              <w:spacing w:before="80" w:after="80"/>
              <w:jc w:val="center"/>
              <w:rPr>
                <w:rFonts w:ascii="Arial" w:hAnsi="Arial" w:cs="Arial"/>
                <w:sz w:val="20"/>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54481141" w14:textId="77777777"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8564AB" w:rsidRPr="00B67515">
              <w:rPr>
                <w:rFonts w:ascii="Arial" w:hAnsi="Arial" w:cs="Arial"/>
                <w:b/>
                <w:sz w:val="20"/>
              </w:rPr>
              <w:t>model</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6BCADC47" w14:textId="77777777" w:rsidR="00477685" w:rsidRPr="00B67515" w:rsidRDefault="00477685" w:rsidP="00D8219F">
            <w:pPr>
              <w:spacing w:before="80" w:after="80"/>
              <w:jc w:val="center"/>
              <w:rPr>
                <w:rFonts w:ascii="Arial" w:hAnsi="Arial" w:cs="Arial"/>
                <w:b/>
                <w:sz w:val="20"/>
              </w:rPr>
            </w:pPr>
            <w:r w:rsidRPr="00B67515">
              <w:rPr>
                <w:rFonts w:ascii="Arial" w:hAnsi="Arial" w:cs="Arial"/>
                <w:b/>
                <w:sz w:val="20"/>
              </w:rPr>
              <w:t>Inef</w:t>
            </w:r>
            <w:r w:rsidR="00D8219F" w:rsidRPr="00B67515">
              <w:rPr>
                <w:rFonts w:ascii="Arial" w:hAnsi="Arial" w:cs="Arial"/>
                <w:b/>
                <w:sz w:val="20"/>
              </w:rPr>
              <w:t>f</w:t>
            </w:r>
            <w:r w:rsidRPr="00B67515">
              <w:rPr>
                <w:rFonts w:ascii="Arial" w:hAnsi="Arial" w:cs="Arial"/>
                <w:b/>
                <w:sz w:val="20"/>
              </w:rPr>
              <w:t>icient</w:t>
            </w:r>
            <w:r w:rsidR="00D8219F" w:rsidRPr="00B67515">
              <w:rPr>
                <w:rFonts w:ascii="Arial" w:hAnsi="Arial" w:cs="Arial"/>
                <w:b/>
                <w:sz w:val="20"/>
              </w:rPr>
              <w:t xml:space="preserve"> model</w:t>
            </w:r>
          </w:p>
        </w:tc>
        <w:tc>
          <w:tcPr>
            <w:tcW w:w="58" w:type="dxa"/>
            <w:tcBorders>
              <w:top w:val="nil"/>
              <w:left w:val="single" w:sz="4" w:space="0" w:color="auto"/>
              <w:bottom w:val="nil"/>
              <w:right w:val="single" w:sz="4" w:space="0" w:color="auto"/>
            </w:tcBorders>
            <w:shd w:val="clear" w:color="auto" w:fill="auto"/>
          </w:tcPr>
          <w:p w14:paraId="60717EAF" w14:textId="77777777" w:rsidR="00477685" w:rsidRPr="00B67515" w:rsidRDefault="00477685" w:rsidP="00AA22F1">
            <w:pPr>
              <w:spacing w:before="80" w:after="80"/>
              <w:jc w:val="center"/>
              <w:rPr>
                <w:rFonts w:ascii="Arial" w:hAnsi="Arial" w:cs="Arial"/>
                <w:b/>
                <w:sz w:val="20"/>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7D15F92E" w14:textId="77777777"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D8219F" w:rsidRPr="00B67515">
              <w:rPr>
                <w:rFonts w:ascii="Arial" w:hAnsi="Arial" w:cs="Arial"/>
                <w:b/>
                <w:sz w:val="20"/>
              </w:rPr>
              <w:t>model</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4F055258" w14:textId="77777777" w:rsidR="00477685" w:rsidRPr="00B67515" w:rsidRDefault="00D8219F" w:rsidP="00D8219F">
            <w:pPr>
              <w:spacing w:before="80" w:after="80"/>
              <w:jc w:val="center"/>
              <w:rPr>
                <w:rFonts w:ascii="Arial" w:hAnsi="Arial" w:cs="Arial"/>
                <w:b/>
                <w:sz w:val="20"/>
              </w:rPr>
            </w:pPr>
            <w:r w:rsidRPr="00B67515">
              <w:rPr>
                <w:rFonts w:ascii="Arial" w:hAnsi="Arial" w:cs="Arial"/>
                <w:b/>
                <w:sz w:val="20"/>
              </w:rPr>
              <w:t>In</w:t>
            </w:r>
            <w:r w:rsidR="00477685" w:rsidRPr="00B67515">
              <w:rPr>
                <w:rFonts w:ascii="Arial" w:hAnsi="Arial" w:cs="Arial"/>
                <w:b/>
                <w:sz w:val="20"/>
              </w:rPr>
              <w:t>e</w:t>
            </w:r>
            <w:r w:rsidRPr="00B67515">
              <w:rPr>
                <w:rFonts w:ascii="Arial" w:hAnsi="Arial" w:cs="Arial"/>
                <w:b/>
                <w:sz w:val="20"/>
              </w:rPr>
              <w:t>f</w:t>
            </w:r>
            <w:r w:rsidR="00477685" w:rsidRPr="00B67515">
              <w:rPr>
                <w:rFonts w:ascii="Arial" w:hAnsi="Arial" w:cs="Arial"/>
                <w:b/>
                <w:sz w:val="20"/>
              </w:rPr>
              <w:t>ficient</w:t>
            </w:r>
            <w:r w:rsidRPr="00B67515">
              <w:rPr>
                <w:rFonts w:ascii="Arial" w:hAnsi="Arial" w:cs="Arial"/>
                <w:b/>
                <w:sz w:val="20"/>
              </w:rPr>
              <w:t xml:space="preserve"> model</w:t>
            </w:r>
          </w:p>
        </w:tc>
      </w:tr>
      <w:tr w:rsidR="00477685" w:rsidRPr="00B67515" w14:paraId="3CBC2818" w14:textId="77777777"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A3DE062" w14:textId="77777777" w:rsidR="00477685" w:rsidRPr="00B67515" w:rsidRDefault="00477685" w:rsidP="005413AE">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 xml:space="preserve">Type of </w:t>
            </w:r>
            <w:r w:rsidR="00E71C45">
              <w:rPr>
                <w:rFonts w:ascii="Arial" w:hAnsi="Arial" w:cs="Arial"/>
                <w:b/>
                <w:sz w:val="20"/>
              </w:rPr>
              <w:t>installation</w:t>
            </w:r>
            <w:r w:rsidR="00BB0B26">
              <w:rPr>
                <w:rFonts w:ascii="Arial" w:hAnsi="Arial" w:cs="Arial"/>
                <w:b/>
                <w:sz w:val="20"/>
              </w:rPr>
              <w:t xml:space="preserve"> </w:t>
            </w:r>
            <w:r w:rsidR="005413AE">
              <w:rPr>
                <w:rFonts w:ascii="Arial" w:hAnsi="Arial" w:cs="Arial"/>
                <w:b/>
                <w:sz w:val="20"/>
              </w:rPr>
              <w:t>/</w:t>
            </w:r>
            <w:r w:rsidR="00BB0B26">
              <w:rPr>
                <w:rFonts w:ascii="Arial" w:hAnsi="Arial" w:cs="Arial"/>
                <w:b/>
                <w:sz w:val="20"/>
              </w:rPr>
              <w:t xml:space="preserve"> capacity</w:t>
            </w:r>
          </w:p>
        </w:tc>
        <w:tc>
          <w:tcPr>
            <w:tcW w:w="1587" w:type="dxa"/>
            <w:tcBorders>
              <w:top w:val="single" w:sz="4" w:space="0" w:color="auto"/>
              <w:left w:val="single" w:sz="4" w:space="0" w:color="auto"/>
              <w:bottom w:val="single" w:sz="4" w:space="0" w:color="auto"/>
              <w:right w:val="single" w:sz="4" w:space="0" w:color="auto"/>
            </w:tcBorders>
            <w:vAlign w:val="center"/>
          </w:tcPr>
          <w:p w14:paraId="32D5FC79" w14:textId="77777777" w:rsidR="00477685" w:rsidRPr="00CE33A1" w:rsidRDefault="00E71C45" w:rsidP="006020A0">
            <w:pPr>
              <w:spacing w:before="80" w:after="80"/>
              <w:jc w:val="center"/>
              <w:rPr>
                <w:rFonts w:ascii="Arial" w:hAnsi="Arial" w:cs="Arial"/>
                <w:sz w:val="20"/>
              </w:rPr>
            </w:pPr>
            <w:r w:rsidRPr="00CE33A1">
              <w:rPr>
                <w:rFonts w:ascii="Arial" w:hAnsi="Arial" w:cs="Arial"/>
                <w:sz w:val="20"/>
              </w:rPr>
              <w:t xml:space="preserve">Freestanding </w:t>
            </w:r>
            <w:r w:rsidR="005413AE" w:rsidRPr="00CE33A1">
              <w:rPr>
                <w:rFonts w:ascii="Arial" w:hAnsi="Arial" w:cs="Arial"/>
                <w:sz w:val="20"/>
              </w:rPr>
              <w:t xml:space="preserve">/ </w:t>
            </w:r>
            <w:r w:rsidRPr="00CE33A1">
              <w:rPr>
                <w:rFonts w:ascii="Arial" w:hAnsi="Arial" w:cs="Arial"/>
                <w:sz w:val="20"/>
              </w:rPr>
              <w:t>1</w:t>
            </w:r>
            <w:r w:rsidR="00D04834" w:rsidRPr="00CE33A1">
              <w:rPr>
                <w:rFonts w:ascii="Arial" w:hAnsi="Arial" w:cs="Arial"/>
                <w:sz w:val="20"/>
              </w:rPr>
              <w:t>3</w:t>
            </w:r>
            <w:r w:rsidRPr="00CE33A1">
              <w:rPr>
                <w:rFonts w:ascii="Arial" w:hAnsi="Arial" w:cs="Arial"/>
                <w:sz w:val="20"/>
              </w:rPr>
              <w:t xml:space="preserve"> place settings</w:t>
            </w:r>
            <w:r w:rsidR="00300F6C" w:rsidRPr="00CE33A1">
              <w:rPr>
                <w:rFonts w:ascii="Arial" w:hAnsi="Arial" w:cs="Arial"/>
                <w:sz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564384F3" w14:textId="2BA31E62" w:rsidR="00477685" w:rsidRPr="00CE33A1" w:rsidRDefault="00E71C45" w:rsidP="00D04834">
            <w:pPr>
              <w:spacing w:before="80" w:after="80"/>
              <w:jc w:val="center"/>
              <w:rPr>
                <w:rFonts w:ascii="Arial" w:hAnsi="Arial" w:cs="Arial"/>
                <w:sz w:val="20"/>
              </w:rPr>
            </w:pPr>
            <w:r w:rsidRPr="00CE33A1">
              <w:rPr>
                <w:rFonts w:ascii="Arial" w:hAnsi="Arial" w:cs="Arial"/>
                <w:sz w:val="20"/>
              </w:rPr>
              <w:t xml:space="preserve">Freestanding </w:t>
            </w:r>
            <w:r w:rsidR="005413AE" w:rsidRPr="00CE33A1">
              <w:rPr>
                <w:rFonts w:ascii="Arial" w:hAnsi="Arial" w:cs="Arial"/>
                <w:sz w:val="20"/>
              </w:rPr>
              <w:t xml:space="preserve">/ </w:t>
            </w:r>
            <w:r w:rsidRPr="00CE33A1">
              <w:rPr>
                <w:rFonts w:ascii="Arial" w:hAnsi="Arial" w:cs="Arial"/>
                <w:sz w:val="20"/>
              </w:rPr>
              <w:t>1</w:t>
            </w:r>
            <w:r w:rsidR="00825932">
              <w:rPr>
                <w:rFonts w:ascii="Arial" w:hAnsi="Arial" w:cs="Arial"/>
                <w:sz w:val="20"/>
              </w:rPr>
              <w:t>3</w:t>
            </w:r>
            <w:r w:rsidRPr="00CE33A1">
              <w:rPr>
                <w:rFonts w:ascii="Arial" w:hAnsi="Arial" w:cs="Arial"/>
                <w:sz w:val="20"/>
              </w:rPr>
              <w:t xml:space="preserve"> place settings</w:t>
            </w:r>
          </w:p>
        </w:tc>
        <w:tc>
          <w:tcPr>
            <w:tcW w:w="58" w:type="dxa"/>
            <w:tcBorders>
              <w:top w:val="nil"/>
              <w:left w:val="single" w:sz="4" w:space="0" w:color="auto"/>
              <w:bottom w:val="nil"/>
              <w:right w:val="single" w:sz="4" w:space="0" w:color="auto"/>
            </w:tcBorders>
            <w:shd w:val="clear" w:color="auto" w:fill="auto"/>
          </w:tcPr>
          <w:p w14:paraId="775033B1" w14:textId="77777777" w:rsidR="00477685" w:rsidRPr="00AB4DD9" w:rsidRDefault="0047768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14:paraId="5ADC1033" w14:textId="77777777" w:rsidR="00477685" w:rsidRPr="00CE33A1" w:rsidRDefault="00E71C45" w:rsidP="00D04834">
            <w:pPr>
              <w:spacing w:before="80" w:after="80"/>
              <w:jc w:val="center"/>
              <w:rPr>
                <w:rFonts w:ascii="Arial" w:hAnsi="Arial" w:cs="Arial"/>
                <w:sz w:val="20"/>
              </w:rPr>
            </w:pPr>
            <w:r w:rsidRPr="00CE33A1">
              <w:rPr>
                <w:rFonts w:ascii="Arial" w:hAnsi="Arial" w:cs="Arial"/>
                <w:sz w:val="20"/>
              </w:rPr>
              <w:t xml:space="preserve">Built-in </w:t>
            </w:r>
            <w:r w:rsidR="005413AE" w:rsidRPr="00CE33A1">
              <w:rPr>
                <w:rFonts w:ascii="Arial" w:hAnsi="Arial" w:cs="Arial"/>
                <w:sz w:val="20"/>
              </w:rPr>
              <w:t xml:space="preserve">/ </w:t>
            </w:r>
            <w:r w:rsidRPr="00CE33A1">
              <w:rPr>
                <w:rFonts w:ascii="Arial" w:hAnsi="Arial" w:cs="Arial"/>
                <w:sz w:val="20"/>
              </w:rPr>
              <w:t>1</w:t>
            </w:r>
            <w:r w:rsidR="00D04834" w:rsidRPr="00CE33A1">
              <w:rPr>
                <w:rFonts w:ascii="Arial" w:hAnsi="Arial" w:cs="Arial"/>
                <w:sz w:val="20"/>
              </w:rPr>
              <w:t>3</w:t>
            </w:r>
            <w:r w:rsidRPr="00CE33A1">
              <w:rPr>
                <w:rFonts w:ascii="Arial" w:hAnsi="Arial" w:cs="Arial"/>
                <w:sz w:val="20"/>
              </w:rPr>
              <w:t xml:space="preserve"> place settings</w:t>
            </w:r>
          </w:p>
        </w:tc>
        <w:tc>
          <w:tcPr>
            <w:tcW w:w="1702" w:type="dxa"/>
            <w:tcBorders>
              <w:top w:val="single" w:sz="4" w:space="0" w:color="auto"/>
              <w:left w:val="single" w:sz="4" w:space="0" w:color="auto"/>
              <w:bottom w:val="single" w:sz="4" w:space="0" w:color="auto"/>
              <w:right w:val="single" w:sz="4" w:space="0" w:color="auto"/>
            </w:tcBorders>
            <w:vAlign w:val="center"/>
          </w:tcPr>
          <w:p w14:paraId="47665AF4" w14:textId="77777777" w:rsidR="00477685" w:rsidRPr="008D29FB" w:rsidRDefault="00E71C45" w:rsidP="00D04834">
            <w:pPr>
              <w:spacing w:before="80" w:after="80"/>
              <w:jc w:val="center"/>
              <w:rPr>
                <w:rFonts w:ascii="Arial" w:hAnsi="Arial" w:cs="Arial"/>
                <w:sz w:val="20"/>
              </w:rPr>
            </w:pPr>
            <w:r w:rsidRPr="008D29FB">
              <w:rPr>
                <w:rFonts w:ascii="Arial" w:hAnsi="Arial" w:cs="Arial"/>
                <w:sz w:val="20"/>
              </w:rPr>
              <w:t>Buil</w:t>
            </w:r>
            <w:r w:rsidR="005C411B" w:rsidRPr="008D29FB">
              <w:rPr>
                <w:rFonts w:ascii="Arial" w:hAnsi="Arial" w:cs="Arial"/>
                <w:sz w:val="20"/>
              </w:rPr>
              <w:t>t</w:t>
            </w:r>
            <w:r w:rsidRPr="008D29FB">
              <w:rPr>
                <w:rFonts w:ascii="Arial" w:hAnsi="Arial" w:cs="Arial"/>
                <w:sz w:val="20"/>
              </w:rPr>
              <w:t xml:space="preserve">-in </w:t>
            </w:r>
            <w:r w:rsidR="005413AE" w:rsidRPr="008D29FB">
              <w:rPr>
                <w:rFonts w:ascii="Arial" w:hAnsi="Arial" w:cs="Arial"/>
                <w:sz w:val="20"/>
              </w:rPr>
              <w:t xml:space="preserve">/ </w:t>
            </w:r>
            <w:r w:rsidRPr="008D29FB">
              <w:rPr>
                <w:rFonts w:ascii="Arial" w:hAnsi="Arial" w:cs="Arial"/>
                <w:sz w:val="20"/>
              </w:rPr>
              <w:t>1</w:t>
            </w:r>
            <w:r w:rsidR="00D04834" w:rsidRPr="008D29FB">
              <w:rPr>
                <w:rFonts w:ascii="Arial" w:hAnsi="Arial" w:cs="Arial"/>
                <w:sz w:val="20"/>
              </w:rPr>
              <w:t>3</w:t>
            </w:r>
            <w:r w:rsidRPr="008D29FB">
              <w:rPr>
                <w:rFonts w:ascii="Arial" w:hAnsi="Arial" w:cs="Arial"/>
                <w:sz w:val="20"/>
              </w:rPr>
              <w:t xml:space="preserve"> place settings</w:t>
            </w:r>
          </w:p>
        </w:tc>
      </w:tr>
      <w:tr w:rsidR="008907A0" w:rsidRPr="00B67515" w14:paraId="45262B94" w14:textId="77777777"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195AF850" w14:textId="77777777" w:rsidR="008907A0" w:rsidRPr="00B67515" w:rsidRDefault="008907A0" w:rsidP="005413AE">
            <w:pPr>
              <w:spacing w:before="80" w:after="80"/>
              <w:rPr>
                <w:rFonts w:ascii="Arial" w:hAnsi="Arial" w:cs="Arial"/>
                <w:b/>
                <w:sz w:val="20"/>
              </w:rPr>
            </w:pPr>
            <w:r>
              <w:rPr>
                <w:rFonts w:ascii="Arial" w:hAnsi="Arial" w:cs="Arial"/>
                <w:b/>
                <w:sz w:val="20"/>
              </w:rPr>
              <w:t xml:space="preserve"> Energy </w:t>
            </w:r>
            <w:r w:rsidR="005413AE">
              <w:rPr>
                <w:rFonts w:ascii="Arial" w:hAnsi="Arial" w:cs="Arial"/>
                <w:b/>
                <w:sz w:val="20"/>
              </w:rPr>
              <w:t xml:space="preserve">class / </w:t>
            </w:r>
            <w:r w:rsidR="00BB0B26">
              <w:rPr>
                <w:rFonts w:ascii="Arial" w:hAnsi="Arial" w:cs="Arial"/>
                <w:b/>
                <w:sz w:val="20"/>
              </w:rPr>
              <w:t xml:space="preserve">drying </w:t>
            </w:r>
            <w:r>
              <w:rPr>
                <w:rFonts w:ascii="Arial" w:hAnsi="Arial" w:cs="Arial"/>
                <w:b/>
                <w:sz w:val="20"/>
              </w:rPr>
              <w:t>class</w:t>
            </w:r>
          </w:p>
        </w:tc>
        <w:tc>
          <w:tcPr>
            <w:tcW w:w="1587" w:type="dxa"/>
            <w:tcBorders>
              <w:top w:val="single" w:sz="4" w:space="0" w:color="auto"/>
              <w:left w:val="single" w:sz="4" w:space="0" w:color="auto"/>
              <w:bottom w:val="single" w:sz="4" w:space="0" w:color="auto"/>
              <w:right w:val="single" w:sz="4" w:space="0" w:color="auto"/>
            </w:tcBorders>
            <w:vAlign w:val="center"/>
          </w:tcPr>
          <w:p w14:paraId="51F4D580" w14:textId="77777777" w:rsidR="008907A0" w:rsidRPr="00CE33A1" w:rsidRDefault="008907A0" w:rsidP="009C7F6E">
            <w:pPr>
              <w:spacing w:before="80" w:after="80"/>
              <w:jc w:val="center"/>
              <w:rPr>
                <w:rFonts w:ascii="Arial" w:hAnsi="Arial" w:cs="Arial"/>
                <w:sz w:val="20"/>
              </w:rPr>
            </w:pPr>
            <w:r w:rsidRPr="00CE33A1">
              <w:rPr>
                <w:rFonts w:ascii="Arial" w:hAnsi="Arial" w:cs="Arial"/>
                <w:sz w:val="20"/>
              </w:rPr>
              <w:t>A+</w:t>
            </w:r>
            <w:r w:rsidR="00BB0B26"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A</w:t>
            </w:r>
          </w:p>
        </w:tc>
        <w:tc>
          <w:tcPr>
            <w:tcW w:w="1702" w:type="dxa"/>
            <w:tcBorders>
              <w:top w:val="single" w:sz="4" w:space="0" w:color="auto"/>
              <w:left w:val="single" w:sz="4" w:space="0" w:color="auto"/>
              <w:bottom w:val="single" w:sz="4" w:space="0" w:color="auto"/>
              <w:right w:val="single" w:sz="4" w:space="0" w:color="auto"/>
            </w:tcBorders>
            <w:vAlign w:val="center"/>
          </w:tcPr>
          <w:p w14:paraId="38AF716F" w14:textId="77777777" w:rsidR="008907A0" w:rsidRPr="00CE33A1" w:rsidRDefault="00BB0B26" w:rsidP="00D8219F">
            <w:pPr>
              <w:spacing w:before="80" w:after="80"/>
              <w:jc w:val="center"/>
              <w:rPr>
                <w:rFonts w:ascii="Arial" w:hAnsi="Arial" w:cs="Arial"/>
                <w:sz w:val="20"/>
              </w:rPr>
            </w:pPr>
            <w:r w:rsidRPr="00CE33A1">
              <w:rPr>
                <w:rFonts w:ascii="Arial" w:hAnsi="Arial" w:cs="Arial"/>
                <w:sz w:val="20"/>
              </w:rPr>
              <w:t>A+</w:t>
            </w:r>
            <w:r w:rsidR="005413AE" w:rsidRPr="00CE33A1">
              <w:rPr>
                <w:rFonts w:ascii="Arial" w:hAnsi="Arial" w:cs="Arial"/>
                <w:sz w:val="20"/>
              </w:rPr>
              <w:t xml:space="preserve"> </w:t>
            </w:r>
            <w:r w:rsidRPr="00CE33A1">
              <w:rPr>
                <w:rFonts w:ascii="Arial" w:hAnsi="Arial" w:cs="Arial"/>
                <w:sz w:val="20"/>
              </w:rPr>
              <w:t>/</w:t>
            </w:r>
            <w:r w:rsidR="005413AE" w:rsidRPr="00CE33A1">
              <w:rPr>
                <w:rFonts w:ascii="Arial" w:hAnsi="Arial" w:cs="Arial"/>
                <w:sz w:val="20"/>
              </w:rPr>
              <w:t xml:space="preserve"> </w:t>
            </w:r>
            <w:r w:rsidRPr="00CE33A1">
              <w:rPr>
                <w:rFonts w:ascii="Arial" w:hAnsi="Arial" w:cs="Arial"/>
                <w:sz w:val="20"/>
              </w:rPr>
              <w:t>A</w:t>
            </w:r>
          </w:p>
        </w:tc>
        <w:tc>
          <w:tcPr>
            <w:tcW w:w="58" w:type="dxa"/>
            <w:tcBorders>
              <w:top w:val="nil"/>
              <w:left w:val="single" w:sz="4" w:space="0" w:color="auto"/>
              <w:bottom w:val="nil"/>
              <w:right w:val="single" w:sz="4" w:space="0" w:color="auto"/>
            </w:tcBorders>
            <w:shd w:val="clear" w:color="auto" w:fill="auto"/>
          </w:tcPr>
          <w:p w14:paraId="3D9F7250" w14:textId="77777777" w:rsidR="008907A0" w:rsidRPr="00AB4DD9" w:rsidRDefault="008907A0"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14:paraId="28F12960" w14:textId="77777777" w:rsidR="008907A0" w:rsidRPr="00CE33A1" w:rsidRDefault="008556F4" w:rsidP="006A283F">
            <w:pPr>
              <w:spacing w:before="80" w:after="80"/>
              <w:jc w:val="center"/>
              <w:rPr>
                <w:rFonts w:ascii="Arial" w:hAnsi="Arial" w:cs="Arial"/>
                <w:sz w:val="20"/>
              </w:rPr>
            </w:pPr>
            <w:r w:rsidRPr="00CE33A1">
              <w:rPr>
                <w:rFonts w:ascii="Arial" w:hAnsi="Arial" w:cs="Arial"/>
                <w:sz w:val="20"/>
              </w:rPr>
              <w:t>A</w:t>
            </w:r>
            <w:r w:rsidR="00946D21" w:rsidRPr="00CE33A1">
              <w:rPr>
                <w:rFonts w:ascii="Arial" w:hAnsi="Arial" w:cs="Arial"/>
                <w:sz w:val="20"/>
              </w:rPr>
              <w:t>+</w:t>
            </w:r>
            <w:r w:rsidR="00BB0B26" w:rsidRPr="00CE33A1">
              <w:rPr>
                <w:rFonts w:ascii="Arial" w:hAnsi="Arial" w:cs="Arial"/>
                <w:sz w:val="20"/>
              </w:rPr>
              <w:t>+</w:t>
            </w:r>
            <w:r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A</w:t>
            </w:r>
          </w:p>
        </w:tc>
        <w:tc>
          <w:tcPr>
            <w:tcW w:w="1702" w:type="dxa"/>
            <w:tcBorders>
              <w:top w:val="single" w:sz="4" w:space="0" w:color="auto"/>
              <w:left w:val="single" w:sz="4" w:space="0" w:color="auto"/>
              <w:bottom w:val="single" w:sz="4" w:space="0" w:color="auto"/>
              <w:right w:val="single" w:sz="4" w:space="0" w:color="auto"/>
            </w:tcBorders>
            <w:vAlign w:val="center"/>
          </w:tcPr>
          <w:p w14:paraId="46CD1833" w14:textId="77777777" w:rsidR="008907A0" w:rsidRPr="008D29FB" w:rsidRDefault="00BB0B26" w:rsidP="00D8219F">
            <w:pPr>
              <w:spacing w:before="80" w:after="80"/>
              <w:jc w:val="center"/>
              <w:rPr>
                <w:rFonts w:ascii="Arial" w:hAnsi="Arial" w:cs="Arial"/>
                <w:sz w:val="20"/>
              </w:rPr>
            </w:pPr>
            <w:r w:rsidRPr="008D29FB">
              <w:rPr>
                <w:rFonts w:ascii="Arial" w:hAnsi="Arial" w:cs="Arial"/>
                <w:sz w:val="20"/>
              </w:rPr>
              <w:t>A+</w:t>
            </w:r>
            <w:r w:rsidR="005413AE" w:rsidRPr="008D29FB">
              <w:rPr>
                <w:rFonts w:ascii="Arial" w:hAnsi="Arial" w:cs="Arial"/>
                <w:sz w:val="20"/>
              </w:rPr>
              <w:t xml:space="preserve"> </w:t>
            </w:r>
            <w:r w:rsidRPr="008D29FB">
              <w:rPr>
                <w:rFonts w:ascii="Arial" w:hAnsi="Arial" w:cs="Arial"/>
                <w:sz w:val="20"/>
              </w:rPr>
              <w:t>/</w:t>
            </w:r>
            <w:r w:rsidR="005413AE" w:rsidRPr="008D29FB">
              <w:rPr>
                <w:rFonts w:ascii="Arial" w:hAnsi="Arial" w:cs="Arial"/>
                <w:sz w:val="20"/>
              </w:rPr>
              <w:t xml:space="preserve"> </w:t>
            </w:r>
            <w:r w:rsidRPr="008D29FB">
              <w:rPr>
                <w:rFonts w:ascii="Arial" w:hAnsi="Arial" w:cs="Arial"/>
                <w:sz w:val="20"/>
              </w:rPr>
              <w:t>A</w:t>
            </w:r>
          </w:p>
        </w:tc>
      </w:tr>
      <w:tr w:rsidR="00477685" w:rsidRPr="00B67515" w14:paraId="55086030" w14:textId="77777777"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4629871" w14:textId="77777777"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587" w:type="dxa"/>
            <w:tcBorders>
              <w:top w:val="single" w:sz="4" w:space="0" w:color="auto"/>
              <w:left w:val="single" w:sz="4" w:space="0" w:color="auto"/>
              <w:bottom w:val="single" w:sz="4" w:space="0" w:color="auto"/>
              <w:right w:val="single" w:sz="4" w:space="0" w:color="auto"/>
            </w:tcBorders>
            <w:vAlign w:val="center"/>
          </w:tcPr>
          <w:p w14:paraId="357F126D" w14:textId="2BD15E82" w:rsidR="00477685" w:rsidRPr="00CE33A1" w:rsidRDefault="00825932" w:rsidP="00946D21">
            <w:pPr>
              <w:spacing w:before="80" w:after="80"/>
              <w:jc w:val="center"/>
              <w:rPr>
                <w:rFonts w:ascii="Arial" w:hAnsi="Arial" w:cs="Arial"/>
                <w:sz w:val="20"/>
              </w:rPr>
            </w:pPr>
            <w:r>
              <w:rPr>
                <w:rFonts w:ascii="Arial" w:hAnsi="Arial" w:cs="Arial"/>
                <w:sz w:val="20"/>
              </w:rPr>
              <w:t>234</w:t>
            </w:r>
            <w:r w:rsidR="00E30511" w:rsidRPr="00CE33A1">
              <w:rPr>
                <w:rFonts w:ascii="Arial" w:hAnsi="Arial" w:cs="Arial"/>
                <w:sz w:val="20"/>
              </w:rPr>
              <w:t xml:space="preserve"> </w:t>
            </w:r>
            <w:r w:rsidR="00477685" w:rsidRPr="00CE33A1">
              <w:rPr>
                <w:rFonts w:ascii="Arial" w:hAnsi="Arial" w:cs="Arial"/>
                <w:sz w:val="20"/>
              </w:rPr>
              <w:t>kW</w:t>
            </w:r>
            <w:r w:rsidR="00E51362" w:rsidRPr="00CE33A1">
              <w:rPr>
                <w:rFonts w:ascii="Arial" w:hAnsi="Arial" w:cs="Arial"/>
                <w:sz w:val="20"/>
              </w:rPr>
              <w:t>h</w:t>
            </w:r>
            <w:r w:rsidR="00477685" w:rsidRPr="00CE33A1">
              <w:rPr>
                <w:rFonts w:ascii="Arial" w:hAnsi="Arial" w:cs="Arial"/>
                <w:sz w:val="20"/>
              </w:rPr>
              <w:t>/</w:t>
            </w:r>
            <w:r w:rsidR="00D8219F"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14:paraId="66F29E3C" w14:textId="1A2370F4" w:rsidR="00477685" w:rsidRPr="00CE33A1" w:rsidRDefault="005C411B" w:rsidP="00D04834">
            <w:pPr>
              <w:spacing w:before="80" w:after="80"/>
              <w:jc w:val="center"/>
              <w:rPr>
                <w:rFonts w:ascii="Arial" w:hAnsi="Arial" w:cs="Arial"/>
                <w:sz w:val="20"/>
              </w:rPr>
            </w:pPr>
            <w:r w:rsidRPr="00CE33A1">
              <w:rPr>
                <w:rFonts w:ascii="Arial" w:hAnsi="Arial" w:cs="Arial"/>
                <w:sz w:val="20"/>
              </w:rPr>
              <w:t>29</w:t>
            </w:r>
            <w:r w:rsidR="00825932">
              <w:rPr>
                <w:rFonts w:ascii="Arial" w:hAnsi="Arial" w:cs="Arial"/>
                <w:sz w:val="20"/>
              </w:rPr>
              <w:t>5</w:t>
            </w:r>
            <w:r w:rsidR="00BB0B26" w:rsidRPr="00CE33A1">
              <w:rPr>
                <w:rFonts w:ascii="Arial" w:hAnsi="Arial" w:cs="Arial"/>
                <w:sz w:val="20"/>
              </w:rPr>
              <w:t xml:space="preserve"> </w:t>
            </w:r>
            <w:r w:rsidR="00477685" w:rsidRPr="00CE33A1">
              <w:rPr>
                <w:rFonts w:ascii="Arial" w:hAnsi="Arial" w:cs="Arial"/>
                <w:sz w:val="20"/>
              </w:rPr>
              <w:t>kW</w:t>
            </w:r>
            <w:r w:rsidR="00E51362" w:rsidRPr="00CE33A1">
              <w:rPr>
                <w:rFonts w:ascii="Arial" w:hAnsi="Arial" w:cs="Arial"/>
                <w:sz w:val="20"/>
              </w:rPr>
              <w:t>h</w:t>
            </w:r>
            <w:r w:rsidR="00477685" w:rsidRPr="00CE33A1">
              <w:rPr>
                <w:rFonts w:ascii="Arial" w:hAnsi="Arial" w:cs="Arial"/>
                <w:sz w:val="20"/>
              </w:rPr>
              <w:t>/</w:t>
            </w:r>
            <w:r w:rsidR="00D8219F" w:rsidRPr="00CE33A1">
              <w:rPr>
                <w:rFonts w:ascii="Arial" w:hAnsi="Arial" w:cs="Arial"/>
                <w:sz w:val="20"/>
              </w:rPr>
              <w:t>year</w:t>
            </w:r>
          </w:p>
        </w:tc>
        <w:tc>
          <w:tcPr>
            <w:tcW w:w="58" w:type="dxa"/>
            <w:tcBorders>
              <w:top w:val="nil"/>
              <w:left w:val="single" w:sz="4" w:space="0" w:color="auto"/>
              <w:bottom w:val="nil"/>
              <w:right w:val="single" w:sz="4" w:space="0" w:color="auto"/>
            </w:tcBorders>
            <w:shd w:val="clear" w:color="auto" w:fill="auto"/>
          </w:tcPr>
          <w:p w14:paraId="04AD5E4F" w14:textId="77777777" w:rsidR="00477685" w:rsidRPr="00AB4DD9" w:rsidRDefault="0047768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14:paraId="0A07AF81" w14:textId="77777777" w:rsidR="00477685" w:rsidRPr="00CE33A1" w:rsidRDefault="005C411B" w:rsidP="00CE33A1">
            <w:pPr>
              <w:spacing w:before="80" w:after="80"/>
              <w:jc w:val="center"/>
              <w:rPr>
                <w:rFonts w:ascii="Arial" w:hAnsi="Arial" w:cs="Arial"/>
                <w:sz w:val="20"/>
              </w:rPr>
            </w:pPr>
            <w:r w:rsidRPr="00CE33A1">
              <w:rPr>
                <w:rFonts w:ascii="Arial" w:hAnsi="Arial" w:cs="Arial"/>
                <w:sz w:val="20"/>
              </w:rPr>
              <w:t>1</w:t>
            </w:r>
            <w:r w:rsidR="00CE33A1" w:rsidRPr="00CE33A1">
              <w:rPr>
                <w:rFonts w:ascii="Arial" w:hAnsi="Arial" w:cs="Arial"/>
                <w:sz w:val="20"/>
              </w:rPr>
              <w:t>55</w:t>
            </w:r>
            <w:r w:rsidR="00477685" w:rsidRPr="00CE33A1">
              <w:rPr>
                <w:rFonts w:ascii="Arial" w:hAnsi="Arial" w:cs="Arial"/>
                <w:sz w:val="20"/>
              </w:rPr>
              <w:t xml:space="preserve"> kW</w:t>
            </w:r>
            <w:r w:rsidR="00E51362" w:rsidRPr="00CE33A1">
              <w:rPr>
                <w:rFonts w:ascii="Arial" w:hAnsi="Arial" w:cs="Arial"/>
                <w:sz w:val="20"/>
              </w:rPr>
              <w:t>h</w:t>
            </w:r>
            <w:r w:rsidR="00477685" w:rsidRPr="00CE33A1">
              <w:rPr>
                <w:rFonts w:ascii="Arial" w:hAnsi="Arial" w:cs="Arial"/>
                <w:sz w:val="20"/>
              </w:rPr>
              <w:t>/</w:t>
            </w:r>
            <w:r w:rsidR="00D8219F"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14:paraId="63E4A12E" w14:textId="77777777" w:rsidR="00477685" w:rsidRPr="008D29FB" w:rsidRDefault="008556F4" w:rsidP="00D04834">
            <w:pPr>
              <w:spacing w:before="80" w:after="80"/>
              <w:jc w:val="center"/>
              <w:rPr>
                <w:rFonts w:ascii="Arial" w:hAnsi="Arial" w:cs="Arial"/>
                <w:sz w:val="20"/>
              </w:rPr>
            </w:pPr>
            <w:r w:rsidRPr="008D29FB">
              <w:rPr>
                <w:rFonts w:ascii="Arial" w:hAnsi="Arial" w:cs="Arial"/>
                <w:sz w:val="20"/>
              </w:rPr>
              <w:t>2</w:t>
            </w:r>
            <w:r w:rsidR="00BB0B26" w:rsidRPr="008D29FB">
              <w:rPr>
                <w:rFonts w:ascii="Arial" w:hAnsi="Arial" w:cs="Arial"/>
                <w:sz w:val="20"/>
              </w:rPr>
              <w:t>9</w:t>
            </w:r>
            <w:r w:rsidR="00D04834" w:rsidRPr="008D29FB">
              <w:rPr>
                <w:rFonts w:ascii="Arial" w:hAnsi="Arial" w:cs="Arial"/>
                <w:sz w:val="20"/>
              </w:rPr>
              <w:t>5</w:t>
            </w:r>
            <w:r w:rsidR="00477685" w:rsidRPr="008D29FB">
              <w:rPr>
                <w:rFonts w:ascii="Arial" w:hAnsi="Arial" w:cs="Arial"/>
                <w:sz w:val="20"/>
              </w:rPr>
              <w:t xml:space="preserve"> kW</w:t>
            </w:r>
            <w:r w:rsidR="00E51362" w:rsidRPr="008D29FB">
              <w:rPr>
                <w:rFonts w:ascii="Arial" w:hAnsi="Arial" w:cs="Arial"/>
                <w:sz w:val="20"/>
              </w:rPr>
              <w:t>h</w:t>
            </w:r>
            <w:r w:rsidR="00477685" w:rsidRPr="008D29FB">
              <w:rPr>
                <w:rFonts w:ascii="Arial" w:hAnsi="Arial" w:cs="Arial"/>
                <w:sz w:val="20"/>
              </w:rPr>
              <w:t>/</w:t>
            </w:r>
            <w:r w:rsidR="00D8219F" w:rsidRPr="008D29FB">
              <w:rPr>
                <w:rFonts w:ascii="Arial" w:hAnsi="Arial" w:cs="Arial"/>
                <w:sz w:val="20"/>
              </w:rPr>
              <w:t>year</w:t>
            </w:r>
          </w:p>
        </w:tc>
      </w:tr>
      <w:tr w:rsidR="00E71C45" w:rsidRPr="00B67515" w14:paraId="70CD7566" w14:textId="77777777"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3D5F02A8" w14:textId="77777777" w:rsidR="00E71C45" w:rsidRPr="00B67515" w:rsidRDefault="00E71C45" w:rsidP="00D8219F">
            <w:pPr>
              <w:spacing w:before="80" w:after="80"/>
              <w:rPr>
                <w:rFonts w:ascii="Arial" w:hAnsi="Arial" w:cs="Arial"/>
                <w:b/>
                <w:sz w:val="20"/>
              </w:rPr>
            </w:pPr>
            <w:r>
              <w:rPr>
                <w:rFonts w:ascii="Arial" w:hAnsi="Arial" w:cs="Arial"/>
                <w:b/>
                <w:sz w:val="20"/>
              </w:rPr>
              <w:t xml:space="preserve"> Water consumption</w:t>
            </w:r>
          </w:p>
        </w:tc>
        <w:tc>
          <w:tcPr>
            <w:tcW w:w="1587" w:type="dxa"/>
            <w:tcBorders>
              <w:top w:val="single" w:sz="4" w:space="0" w:color="auto"/>
              <w:left w:val="single" w:sz="4" w:space="0" w:color="auto"/>
              <w:bottom w:val="single" w:sz="4" w:space="0" w:color="auto"/>
              <w:right w:val="single" w:sz="4" w:space="0" w:color="auto"/>
            </w:tcBorders>
            <w:vAlign w:val="center"/>
          </w:tcPr>
          <w:p w14:paraId="00F5AC1F" w14:textId="0EC89F90" w:rsidR="00E71C45" w:rsidRPr="00CE33A1" w:rsidRDefault="00825932" w:rsidP="0059645F">
            <w:pPr>
              <w:spacing w:before="80" w:after="80"/>
              <w:jc w:val="center"/>
              <w:rPr>
                <w:rFonts w:ascii="Arial" w:hAnsi="Arial" w:cs="Arial"/>
                <w:sz w:val="20"/>
              </w:rPr>
            </w:pPr>
            <w:r>
              <w:rPr>
                <w:rFonts w:ascii="Arial" w:hAnsi="Arial" w:cs="Arial"/>
                <w:sz w:val="20"/>
              </w:rPr>
              <w:t>2660</w:t>
            </w:r>
            <w:r w:rsidR="00BB0B26" w:rsidRPr="00CE33A1">
              <w:rPr>
                <w:rFonts w:ascii="Arial" w:hAnsi="Arial" w:cs="Arial"/>
                <w:sz w:val="20"/>
              </w:rPr>
              <w:t xml:space="preserve"> l/</w:t>
            </w:r>
            <w:r w:rsidR="00C90DE8"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14:paraId="6BD8C081" w14:textId="77777777" w:rsidR="00E71C45" w:rsidRPr="00CE33A1" w:rsidRDefault="005C411B" w:rsidP="00D04834">
            <w:pPr>
              <w:spacing w:before="80" w:after="80"/>
              <w:jc w:val="center"/>
              <w:rPr>
                <w:rFonts w:ascii="Arial" w:hAnsi="Arial" w:cs="Arial"/>
                <w:sz w:val="20"/>
              </w:rPr>
            </w:pPr>
            <w:r w:rsidRPr="00CE33A1">
              <w:rPr>
                <w:rFonts w:ascii="Arial" w:hAnsi="Arial" w:cs="Arial"/>
                <w:sz w:val="20"/>
              </w:rPr>
              <w:t>30</w:t>
            </w:r>
            <w:r w:rsidR="00D04834" w:rsidRPr="00CE33A1">
              <w:rPr>
                <w:rFonts w:ascii="Arial" w:hAnsi="Arial" w:cs="Arial"/>
                <w:sz w:val="20"/>
              </w:rPr>
              <w:t>80</w:t>
            </w:r>
            <w:r w:rsidR="00BB0B26" w:rsidRPr="00CE33A1">
              <w:rPr>
                <w:rFonts w:ascii="Arial" w:hAnsi="Arial" w:cs="Arial"/>
                <w:sz w:val="20"/>
              </w:rPr>
              <w:t xml:space="preserve"> l/</w:t>
            </w:r>
            <w:r w:rsidR="00C90DE8" w:rsidRPr="00CE33A1">
              <w:rPr>
                <w:rFonts w:ascii="Arial" w:hAnsi="Arial" w:cs="Arial"/>
                <w:sz w:val="20"/>
              </w:rPr>
              <w:t>year</w:t>
            </w:r>
          </w:p>
        </w:tc>
        <w:tc>
          <w:tcPr>
            <w:tcW w:w="58" w:type="dxa"/>
            <w:tcBorders>
              <w:top w:val="nil"/>
              <w:left w:val="single" w:sz="4" w:space="0" w:color="auto"/>
              <w:bottom w:val="nil"/>
              <w:right w:val="single" w:sz="4" w:space="0" w:color="auto"/>
            </w:tcBorders>
            <w:shd w:val="clear" w:color="auto" w:fill="auto"/>
          </w:tcPr>
          <w:p w14:paraId="755E0B40" w14:textId="77777777" w:rsidR="00E71C45" w:rsidRPr="00AB4DD9" w:rsidRDefault="00E71C4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14:paraId="33E27B54" w14:textId="77777777" w:rsidR="00E71C45" w:rsidRPr="00CE33A1" w:rsidRDefault="005C411B" w:rsidP="00CE33A1">
            <w:pPr>
              <w:spacing w:before="80" w:after="80"/>
              <w:jc w:val="center"/>
              <w:rPr>
                <w:rFonts w:ascii="Arial" w:hAnsi="Arial" w:cs="Arial"/>
                <w:sz w:val="20"/>
              </w:rPr>
            </w:pPr>
            <w:r w:rsidRPr="00CE33A1">
              <w:rPr>
                <w:rFonts w:ascii="Arial" w:hAnsi="Arial" w:cs="Arial"/>
                <w:sz w:val="20"/>
              </w:rPr>
              <w:t>2</w:t>
            </w:r>
            <w:r w:rsidR="00D04834" w:rsidRPr="00CE33A1">
              <w:rPr>
                <w:rFonts w:ascii="Arial" w:hAnsi="Arial" w:cs="Arial"/>
                <w:sz w:val="20"/>
              </w:rPr>
              <w:t>4</w:t>
            </w:r>
            <w:r w:rsidR="00CE33A1" w:rsidRPr="00CE33A1">
              <w:rPr>
                <w:rFonts w:ascii="Arial" w:hAnsi="Arial" w:cs="Arial"/>
                <w:sz w:val="20"/>
              </w:rPr>
              <w:t>64</w:t>
            </w:r>
            <w:r w:rsidR="00BB0B26" w:rsidRPr="00CE33A1">
              <w:rPr>
                <w:rFonts w:ascii="Arial" w:hAnsi="Arial" w:cs="Arial"/>
                <w:sz w:val="20"/>
              </w:rPr>
              <w:t xml:space="preserve"> l/</w:t>
            </w:r>
            <w:r w:rsidR="00C90DE8"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14:paraId="12A220B5" w14:textId="419E0BC3" w:rsidR="00E71C45" w:rsidRPr="008D29FB" w:rsidRDefault="00BB0B26" w:rsidP="00D04834">
            <w:pPr>
              <w:spacing w:before="80" w:after="80"/>
              <w:jc w:val="center"/>
              <w:rPr>
                <w:rFonts w:ascii="Arial" w:hAnsi="Arial" w:cs="Arial"/>
                <w:sz w:val="20"/>
              </w:rPr>
            </w:pPr>
            <w:r w:rsidRPr="008D29FB">
              <w:rPr>
                <w:rFonts w:ascii="Arial" w:hAnsi="Arial" w:cs="Arial"/>
                <w:sz w:val="20"/>
              </w:rPr>
              <w:t>3</w:t>
            </w:r>
            <w:r w:rsidR="00825932">
              <w:rPr>
                <w:rFonts w:ascii="Arial" w:hAnsi="Arial" w:cs="Arial"/>
                <w:sz w:val="20"/>
              </w:rPr>
              <w:t>080</w:t>
            </w:r>
            <w:r w:rsidRPr="008D29FB">
              <w:rPr>
                <w:rFonts w:ascii="Arial" w:hAnsi="Arial" w:cs="Arial"/>
                <w:sz w:val="20"/>
              </w:rPr>
              <w:t xml:space="preserve"> l/</w:t>
            </w:r>
            <w:r w:rsidR="00C90DE8" w:rsidRPr="008D29FB">
              <w:rPr>
                <w:rFonts w:ascii="Arial" w:hAnsi="Arial" w:cs="Arial"/>
                <w:sz w:val="20"/>
              </w:rPr>
              <w:t>year</w:t>
            </w:r>
          </w:p>
        </w:tc>
      </w:tr>
      <w:tr w:rsidR="00477685" w:rsidRPr="00B67515" w14:paraId="5B06AFEC" w14:textId="77777777"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151DCC5C" w14:textId="77777777"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 xml:space="preserve">tricity </w:t>
            </w:r>
            <w:r w:rsidR="00E71C45">
              <w:rPr>
                <w:rFonts w:ascii="Arial" w:hAnsi="Arial" w:cs="Arial"/>
                <w:b/>
                <w:sz w:val="20"/>
              </w:rPr>
              <w:t xml:space="preserve">and water </w:t>
            </w:r>
            <w:r w:rsidR="000E5407" w:rsidRPr="00B67515">
              <w:rPr>
                <w:rFonts w:ascii="Arial" w:hAnsi="Arial" w:cs="Arial"/>
                <w:b/>
                <w:sz w:val="20"/>
              </w:rPr>
              <w:t>in</w:t>
            </w:r>
            <w:r w:rsidRPr="00B67515">
              <w:rPr>
                <w:rFonts w:ascii="Arial" w:hAnsi="Arial" w:cs="Arial"/>
                <w:b/>
                <w:sz w:val="20"/>
              </w:rPr>
              <w:t xml:space="preserve"> </w:t>
            </w:r>
            <w:r w:rsidR="000E5407" w:rsidRPr="00B67515">
              <w:rPr>
                <w:rFonts w:ascii="Arial" w:hAnsi="Arial" w:cs="Arial"/>
                <w:b/>
                <w:sz w:val="20"/>
              </w:rPr>
              <w:t>1</w:t>
            </w:r>
            <w:r w:rsidR="008907A0">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587" w:type="dxa"/>
            <w:tcBorders>
              <w:top w:val="single" w:sz="4" w:space="0" w:color="auto"/>
              <w:left w:val="single" w:sz="4" w:space="0" w:color="auto"/>
              <w:bottom w:val="single" w:sz="4" w:space="0" w:color="auto"/>
              <w:right w:val="single" w:sz="4" w:space="0" w:color="auto"/>
            </w:tcBorders>
            <w:vAlign w:val="center"/>
          </w:tcPr>
          <w:p w14:paraId="3335941A" w14:textId="212B880E" w:rsidR="00477685" w:rsidRPr="00CE33A1" w:rsidRDefault="003107EA" w:rsidP="00CE33A1">
            <w:pPr>
              <w:spacing w:before="80" w:after="80"/>
              <w:jc w:val="center"/>
              <w:rPr>
                <w:rFonts w:ascii="Arial" w:hAnsi="Arial" w:cs="Arial"/>
                <w:sz w:val="20"/>
              </w:rPr>
            </w:pPr>
            <w:r>
              <w:rPr>
                <w:rFonts w:ascii="Arial" w:hAnsi="Arial" w:cs="Arial"/>
                <w:sz w:val="20"/>
              </w:rPr>
              <w:t>806</w:t>
            </w:r>
            <w:r w:rsidRPr="00CE33A1">
              <w:rPr>
                <w:rFonts w:ascii="Arial" w:hAnsi="Arial" w:cs="Arial"/>
                <w:sz w:val="20"/>
              </w:rPr>
              <w:t xml:space="preserve"> </w:t>
            </w:r>
            <w:r w:rsidR="00477685" w:rsidRPr="00CE33A1">
              <w:rPr>
                <w:rFonts w:ascii="Arial" w:hAnsi="Arial" w:cs="Arial"/>
                <w:sz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297F8981" w14:textId="4D1D5369" w:rsidR="00477685" w:rsidRPr="00CE33A1" w:rsidRDefault="003107EA" w:rsidP="00946D21">
            <w:pPr>
              <w:spacing w:before="80" w:after="80"/>
              <w:jc w:val="center"/>
              <w:rPr>
                <w:rFonts w:ascii="Arial" w:hAnsi="Arial" w:cs="Arial"/>
                <w:sz w:val="20"/>
              </w:rPr>
            </w:pPr>
            <w:r>
              <w:rPr>
                <w:rFonts w:ascii="Arial" w:hAnsi="Arial" w:cs="Arial"/>
                <w:sz w:val="20"/>
              </w:rPr>
              <w:t>1004</w:t>
            </w:r>
            <w:r w:rsidRPr="00CE33A1">
              <w:rPr>
                <w:rFonts w:ascii="Arial" w:hAnsi="Arial" w:cs="Arial"/>
                <w:sz w:val="20"/>
              </w:rPr>
              <w:t xml:space="preserve"> </w:t>
            </w:r>
            <w:r w:rsidR="00477685" w:rsidRPr="00CE33A1">
              <w:rPr>
                <w:rFonts w:ascii="Arial" w:hAnsi="Arial" w:cs="Arial"/>
                <w:sz w:val="20"/>
              </w:rPr>
              <w:t>€</w:t>
            </w:r>
          </w:p>
        </w:tc>
        <w:tc>
          <w:tcPr>
            <w:tcW w:w="58" w:type="dxa"/>
            <w:tcBorders>
              <w:top w:val="nil"/>
              <w:left w:val="single" w:sz="4" w:space="0" w:color="auto"/>
              <w:bottom w:val="nil"/>
              <w:right w:val="single" w:sz="4" w:space="0" w:color="auto"/>
            </w:tcBorders>
            <w:shd w:val="clear" w:color="auto" w:fill="auto"/>
          </w:tcPr>
          <w:p w14:paraId="1CCAEE76" w14:textId="77777777" w:rsidR="00477685" w:rsidRPr="00AB4DD9" w:rsidRDefault="0047768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14:paraId="302ADB1E" w14:textId="77777777" w:rsidR="00477685" w:rsidRPr="00CE33A1" w:rsidRDefault="00CE33A1" w:rsidP="00946D21">
            <w:pPr>
              <w:spacing w:before="80" w:after="80"/>
              <w:jc w:val="center"/>
              <w:rPr>
                <w:rFonts w:ascii="Arial" w:hAnsi="Arial" w:cs="Arial"/>
                <w:sz w:val="20"/>
              </w:rPr>
            </w:pPr>
            <w:r w:rsidRPr="00CE33A1">
              <w:rPr>
                <w:rFonts w:ascii="Arial" w:hAnsi="Arial" w:cs="Arial"/>
                <w:sz w:val="20"/>
              </w:rPr>
              <w:t xml:space="preserve">561 </w:t>
            </w:r>
            <w:r w:rsidR="00477685" w:rsidRPr="00CE33A1">
              <w:rPr>
                <w:rFonts w:ascii="Arial" w:hAnsi="Arial" w:cs="Arial"/>
                <w:sz w:val="20"/>
              </w:rPr>
              <w:t>€</w:t>
            </w:r>
          </w:p>
        </w:tc>
        <w:tc>
          <w:tcPr>
            <w:tcW w:w="1702" w:type="dxa"/>
            <w:tcBorders>
              <w:top w:val="single" w:sz="4" w:space="0" w:color="auto"/>
              <w:left w:val="single" w:sz="4" w:space="0" w:color="auto"/>
              <w:bottom w:val="single" w:sz="4" w:space="0" w:color="auto"/>
              <w:right w:val="single" w:sz="4" w:space="0" w:color="auto"/>
            </w:tcBorders>
            <w:vAlign w:val="center"/>
          </w:tcPr>
          <w:p w14:paraId="7724D4DA" w14:textId="5005F7FB" w:rsidR="00477685" w:rsidRPr="008D29FB" w:rsidRDefault="005C411B" w:rsidP="00D04834">
            <w:pPr>
              <w:spacing w:before="80" w:after="80"/>
              <w:jc w:val="center"/>
              <w:rPr>
                <w:rFonts w:ascii="Arial" w:hAnsi="Arial" w:cs="Arial"/>
                <w:sz w:val="20"/>
              </w:rPr>
            </w:pPr>
            <w:r w:rsidRPr="008D29FB">
              <w:rPr>
                <w:rFonts w:ascii="Arial" w:hAnsi="Arial" w:cs="Arial"/>
                <w:sz w:val="20"/>
              </w:rPr>
              <w:t>10</w:t>
            </w:r>
            <w:r w:rsidR="00145F02">
              <w:rPr>
                <w:rFonts w:ascii="Arial" w:hAnsi="Arial" w:cs="Arial"/>
                <w:sz w:val="20"/>
              </w:rPr>
              <w:t>05</w:t>
            </w:r>
            <w:r w:rsidR="006A283F" w:rsidRPr="008D29FB">
              <w:rPr>
                <w:rFonts w:ascii="Arial" w:hAnsi="Arial" w:cs="Arial"/>
                <w:sz w:val="20"/>
              </w:rPr>
              <w:t xml:space="preserve"> </w:t>
            </w:r>
            <w:r w:rsidR="00477685" w:rsidRPr="008D29FB">
              <w:rPr>
                <w:rFonts w:ascii="Arial" w:hAnsi="Arial" w:cs="Arial"/>
                <w:sz w:val="20"/>
              </w:rPr>
              <w:t>€</w:t>
            </w:r>
          </w:p>
        </w:tc>
      </w:tr>
      <w:tr w:rsidR="000E5407" w:rsidRPr="00B67515" w14:paraId="6E34458B" w14:textId="77777777" w:rsidTr="00EA735C">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A97CCF9" w14:textId="77777777" w:rsidR="000E5407" w:rsidRPr="00B67515" w:rsidRDefault="000E5407" w:rsidP="008907A0">
            <w:pPr>
              <w:spacing w:before="80" w:after="80"/>
              <w:rPr>
                <w:rFonts w:ascii="Arial" w:hAnsi="Arial" w:cs="Arial"/>
                <w:b/>
                <w:sz w:val="20"/>
              </w:rPr>
            </w:pPr>
            <w:r w:rsidRPr="00B67515">
              <w:rPr>
                <w:rFonts w:ascii="Arial" w:hAnsi="Arial" w:cs="Arial"/>
                <w:b/>
                <w:sz w:val="20"/>
              </w:rPr>
              <w:lastRenderedPageBreak/>
              <w:t xml:space="preserve"> Savings in 1</w:t>
            </w:r>
            <w:r w:rsidR="008907A0">
              <w:rPr>
                <w:rFonts w:ascii="Arial" w:hAnsi="Arial" w:cs="Arial"/>
                <w:b/>
                <w:sz w:val="20"/>
              </w:rPr>
              <w:t>5</w:t>
            </w:r>
            <w:r w:rsidRPr="00B67515">
              <w:rPr>
                <w:rFonts w:ascii="Arial" w:hAnsi="Arial" w:cs="Arial"/>
                <w:b/>
                <w:sz w:val="20"/>
              </w:rPr>
              <w:t xml:space="preserve"> years</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1C9F36F0" w14:textId="7E816893" w:rsidR="000E5407" w:rsidRPr="006A283F" w:rsidRDefault="0059645F" w:rsidP="00C61635">
            <w:pPr>
              <w:spacing w:before="80" w:after="20"/>
              <w:jc w:val="center"/>
              <w:rPr>
                <w:rFonts w:ascii="Arial" w:hAnsi="Arial" w:cs="Arial"/>
                <w:b/>
                <w:sz w:val="20"/>
              </w:rPr>
            </w:pPr>
            <w:r>
              <w:rPr>
                <w:rFonts w:ascii="Arial" w:hAnsi="Arial" w:cs="Arial"/>
                <w:b/>
                <w:sz w:val="20"/>
              </w:rPr>
              <w:t>2</w:t>
            </w:r>
            <w:r w:rsidR="00145F02">
              <w:rPr>
                <w:rFonts w:ascii="Arial" w:hAnsi="Arial" w:cs="Arial"/>
                <w:b/>
                <w:sz w:val="20"/>
              </w:rPr>
              <w:t>0</w:t>
            </w:r>
            <w:r w:rsidR="000E5407" w:rsidRPr="006A283F">
              <w:rPr>
                <w:rFonts w:ascii="Arial" w:hAnsi="Arial" w:cs="Arial"/>
                <w:b/>
                <w:sz w:val="20"/>
              </w:rPr>
              <w:t xml:space="preserve">% energy </w:t>
            </w:r>
            <w:r w:rsidR="00C90DE8">
              <w:rPr>
                <w:rFonts w:ascii="Arial" w:hAnsi="Arial" w:cs="Arial"/>
                <w:b/>
                <w:sz w:val="20"/>
              </w:rPr>
              <w:t xml:space="preserve">+ </w:t>
            </w:r>
            <w:r w:rsidR="00145F02">
              <w:rPr>
                <w:rFonts w:ascii="Arial" w:hAnsi="Arial" w:cs="Arial"/>
                <w:b/>
                <w:sz w:val="20"/>
              </w:rPr>
              <w:t>13</w:t>
            </w:r>
            <w:r w:rsidR="00C90DE8">
              <w:rPr>
                <w:rFonts w:ascii="Arial" w:hAnsi="Arial" w:cs="Arial"/>
                <w:b/>
                <w:sz w:val="20"/>
              </w:rPr>
              <w:t>% water / unit</w:t>
            </w:r>
          </w:p>
          <w:p w14:paraId="230B5DCC" w14:textId="1CD79B40" w:rsidR="000E5407" w:rsidRPr="006A283F" w:rsidRDefault="00145F02" w:rsidP="008D29FB">
            <w:pPr>
              <w:spacing w:before="20" w:after="80"/>
              <w:jc w:val="center"/>
              <w:rPr>
                <w:rFonts w:ascii="Arial" w:hAnsi="Arial" w:cs="Arial"/>
                <w:sz w:val="20"/>
              </w:rPr>
            </w:pPr>
            <w:r>
              <w:rPr>
                <w:rFonts w:ascii="Arial" w:hAnsi="Arial" w:cs="Arial"/>
                <w:b/>
                <w:sz w:val="20"/>
              </w:rPr>
              <w:t xml:space="preserve">199 </w:t>
            </w:r>
            <w:r w:rsidR="000E5407" w:rsidRPr="006A283F">
              <w:rPr>
                <w:rFonts w:ascii="Arial" w:hAnsi="Arial" w:cs="Arial"/>
                <w:b/>
                <w:sz w:val="20"/>
              </w:rPr>
              <w:t>€/unit</w:t>
            </w:r>
            <w:r w:rsidR="00C90DE8">
              <w:rPr>
                <w:rFonts w:ascii="Arial" w:hAnsi="Arial" w:cs="Arial"/>
                <w:b/>
                <w:sz w:val="20"/>
              </w:rPr>
              <w:t xml:space="preserve"> (energy + water)</w:t>
            </w:r>
          </w:p>
        </w:tc>
        <w:tc>
          <w:tcPr>
            <w:tcW w:w="58" w:type="dxa"/>
            <w:tcBorders>
              <w:top w:val="nil"/>
              <w:left w:val="single" w:sz="4" w:space="0" w:color="auto"/>
              <w:bottom w:val="nil"/>
              <w:right w:val="single" w:sz="4" w:space="0" w:color="auto"/>
            </w:tcBorders>
            <w:shd w:val="clear" w:color="auto" w:fill="auto"/>
          </w:tcPr>
          <w:p w14:paraId="061A0EF7" w14:textId="77777777" w:rsidR="000E5407" w:rsidRPr="006A283F" w:rsidRDefault="000E5407" w:rsidP="00544871">
            <w:pPr>
              <w:spacing w:before="80" w:after="80"/>
              <w:jc w:val="center"/>
              <w:rPr>
                <w:rFonts w:ascii="Arial" w:hAnsi="Arial" w:cs="Arial"/>
                <w:sz w:val="20"/>
              </w:rPr>
            </w:pP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30BCC185" w14:textId="3C567F51" w:rsidR="000E5407" w:rsidRPr="006A283F" w:rsidRDefault="00A44166" w:rsidP="00C61635">
            <w:pPr>
              <w:spacing w:before="80" w:after="20"/>
              <w:jc w:val="center"/>
              <w:rPr>
                <w:rFonts w:ascii="Arial" w:hAnsi="Arial" w:cs="Arial"/>
                <w:b/>
                <w:sz w:val="20"/>
              </w:rPr>
            </w:pPr>
            <w:r>
              <w:rPr>
                <w:rFonts w:ascii="Arial" w:hAnsi="Arial" w:cs="Arial"/>
                <w:b/>
                <w:sz w:val="20"/>
              </w:rPr>
              <w:t>47</w:t>
            </w:r>
            <w:r w:rsidR="000E5407" w:rsidRPr="006A283F">
              <w:rPr>
                <w:rFonts w:ascii="Arial" w:hAnsi="Arial" w:cs="Arial"/>
                <w:b/>
                <w:sz w:val="20"/>
              </w:rPr>
              <w:t xml:space="preserve">% energy </w:t>
            </w:r>
            <w:r w:rsidR="00C90DE8">
              <w:rPr>
                <w:rFonts w:ascii="Arial" w:hAnsi="Arial" w:cs="Arial"/>
                <w:b/>
                <w:sz w:val="20"/>
              </w:rPr>
              <w:t xml:space="preserve">+ </w:t>
            </w:r>
            <w:r w:rsidR="00145F02">
              <w:rPr>
                <w:rFonts w:ascii="Arial" w:hAnsi="Arial" w:cs="Arial"/>
                <w:b/>
                <w:sz w:val="20"/>
              </w:rPr>
              <w:t>20</w:t>
            </w:r>
            <w:r w:rsidR="00C90DE8">
              <w:rPr>
                <w:rFonts w:ascii="Arial" w:hAnsi="Arial" w:cs="Arial"/>
                <w:b/>
                <w:sz w:val="20"/>
              </w:rPr>
              <w:t xml:space="preserve">% water </w:t>
            </w:r>
            <w:r w:rsidR="000E5407" w:rsidRPr="006A283F">
              <w:rPr>
                <w:rFonts w:ascii="Arial" w:hAnsi="Arial" w:cs="Arial"/>
                <w:b/>
                <w:sz w:val="20"/>
              </w:rPr>
              <w:t>/ unit</w:t>
            </w:r>
          </w:p>
          <w:p w14:paraId="5458D01A" w14:textId="5D5F1300" w:rsidR="000E5407" w:rsidRPr="006A283F" w:rsidRDefault="008D29FB" w:rsidP="005413AE">
            <w:pPr>
              <w:spacing w:before="20" w:after="80"/>
              <w:jc w:val="center"/>
              <w:rPr>
                <w:rFonts w:ascii="Arial" w:hAnsi="Arial" w:cs="Arial"/>
                <w:sz w:val="20"/>
              </w:rPr>
            </w:pPr>
            <w:r>
              <w:rPr>
                <w:rFonts w:ascii="Arial" w:hAnsi="Arial" w:cs="Arial"/>
                <w:b/>
                <w:sz w:val="20"/>
              </w:rPr>
              <w:t>4</w:t>
            </w:r>
            <w:r w:rsidR="00145F02">
              <w:rPr>
                <w:rFonts w:ascii="Arial" w:hAnsi="Arial" w:cs="Arial"/>
                <w:b/>
                <w:sz w:val="20"/>
              </w:rPr>
              <w:t>44</w:t>
            </w:r>
            <w:r w:rsidR="00E51362">
              <w:rPr>
                <w:rFonts w:ascii="Arial" w:hAnsi="Arial" w:cs="Arial"/>
                <w:b/>
                <w:sz w:val="20"/>
              </w:rPr>
              <w:t xml:space="preserve"> </w:t>
            </w:r>
            <w:r w:rsidR="000E5407" w:rsidRPr="006A283F">
              <w:rPr>
                <w:rFonts w:ascii="Arial" w:hAnsi="Arial" w:cs="Arial"/>
                <w:b/>
                <w:sz w:val="20"/>
              </w:rPr>
              <w:t>€/unit</w:t>
            </w:r>
            <w:r w:rsidR="00C90DE8">
              <w:rPr>
                <w:rFonts w:ascii="Arial" w:hAnsi="Arial" w:cs="Arial"/>
                <w:b/>
                <w:sz w:val="20"/>
              </w:rPr>
              <w:t xml:space="preserve"> (energy + water)</w:t>
            </w:r>
          </w:p>
        </w:tc>
      </w:tr>
    </w:tbl>
    <w:p w14:paraId="665CC600" w14:textId="77777777" w:rsidR="00C61635" w:rsidRDefault="00C61635" w:rsidP="00173AA2">
      <w:pPr>
        <w:spacing w:after="0" w:line="300" w:lineRule="exact"/>
        <w:jc w:val="both"/>
        <w:rPr>
          <w:rFonts w:ascii="Arial" w:hAnsi="Arial" w:cs="Arial"/>
          <w:sz w:val="20"/>
        </w:rPr>
      </w:pPr>
    </w:p>
    <w:p w14:paraId="1024EC68" w14:textId="3CF1A457" w:rsidR="00A0096F" w:rsidRPr="005C411B" w:rsidRDefault="003F6730" w:rsidP="00173AA2">
      <w:pPr>
        <w:spacing w:after="0" w:line="300" w:lineRule="exact"/>
        <w:jc w:val="both"/>
        <w:rPr>
          <w:rFonts w:ascii="Arial" w:hAnsi="Arial" w:cs="Arial"/>
          <w:sz w:val="20"/>
        </w:rPr>
      </w:pPr>
      <w:r w:rsidRPr="005C411B">
        <w:rPr>
          <w:rFonts w:ascii="Arial" w:hAnsi="Arial" w:cs="Arial"/>
          <w:sz w:val="20"/>
        </w:rPr>
        <w:t xml:space="preserve">Topten models </w:t>
      </w:r>
      <w:r w:rsidR="006A283F" w:rsidRPr="005C411B">
        <w:rPr>
          <w:rFonts w:ascii="Arial" w:hAnsi="Arial" w:cs="Arial"/>
          <w:sz w:val="20"/>
        </w:rPr>
        <w:t xml:space="preserve">can </w:t>
      </w:r>
      <w:r w:rsidRPr="005C411B">
        <w:rPr>
          <w:rFonts w:ascii="Arial" w:hAnsi="Arial" w:cs="Arial"/>
          <w:sz w:val="20"/>
        </w:rPr>
        <w:t xml:space="preserve">consume </w:t>
      </w:r>
      <w:r w:rsidR="006A283F" w:rsidRPr="005C411B">
        <w:rPr>
          <w:rFonts w:ascii="Arial" w:hAnsi="Arial" w:cs="Arial"/>
          <w:sz w:val="20"/>
        </w:rPr>
        <w:t xml:space="preserve">about </w:t>
      </w:r>
      <w:r w:rsidR="00A44166">
        <w:rPr>
          <w:rFonts w:ascii="Arial" w:hAnsi="Arial" w:cs="Arial"/>
          <w:sz w:val="20"/>
        </w:rPr>
        <w:t>47</w:t>
      </w:r>
      <w:r w:rsidRPr="005C411B">
        <w:rPr>
          <w:rFonts w:ascii="Arial" w:hAnsi="Arial" w:cs="Arial"/>
          <w:sz w:val="20"/>
        </w:rPr>
        <w:t xml:space="preserve">% less energy </w:t>
      </w:r>
      <w:r w:rsidR="00C90DE8" w:rsidRPr="005C411B">
        <w:rPr>
          <w:rFonts w:ascii="Arial" w:hAnsi="Arial" w:cs="Arial"/>
          <w:sz w:val="20"/>
        </w:rPr>
        <w:t xml:space="preserve">and </w:t>
      </w:r>
      <w:r w:rsidR="00EB463D">
        <w:rPr>
          <w:rFonts w:ascii="Arial" w:hAnsi="Arial" w:cs="Arial"/>
          <w:sz w:val="20"/>
        </w:rPr>
        <w:t>20</w:t>
      </w:r>
      <w:r w:rsidR="005C411B" w:rsidRPr="005C411B">
        <w:rPr>
          <w:rFonts w:ascii="Arial" w:hAnsi="Arial" w:cs="Arial"/>
          <w:sz w:val="20"/>
        </w:rPr>
        <w:t xml:space="preserve">% less </w:t>
      </w:r>
      <w:r w:rsidR="00C90DE8" w:rsidRPr="005C411B">
        <w:rPr>
          <w:rFonts w:ascii="Arial" w:hAnsi="Arial" w:cs="Arial"/>
          <w:sz w:val="20"/>
        </w:rPr>
        <w:t>water compared</w:t>
      </w:r>
      <w:r w:rsidR="00D66479" w:rsidRPr="005C411B">
        <w:rPr>
          <w:rFonts w:ascii="Arial" w:hAnsi="Arial" w:cs="Arial"/>
          <w:sz w:val="20"/>
        </w:rPr>
        <w:t xml:space="preserve"> </w:t>
      </w:r>
      <w:r w:rsidR="00C90DE8" w:rsidRPr="005C411B">
        <w:rPr>
          <w:rFonts w:ascii="Arial" w:hAnsi="Arial" w:cs="Arial"/>
          <w:sz w:val="20"/>
        </w:rPr>
        <w:t>to inefficient models</w:t>
      </w:r>
      <w:r w:rsidR="00EB463D">
        <w:rPr>
          <w:rFonts w:ascii="Arial" w:hAnsi="Arial" w:cs="Arial"/>
          <w:sz w:val="20"/>
        </w:rPr>
        <w:t xml:space="preserve">. This can lead to a saving of approximatively </w:t>
      </w:r>
      <w:r w:rsidR="008D29FB">
        <w:rPr>
          <w:rFonts w:ascii="Arial" w:hAnsi="Arial" w:cs="Arial"/>
          <w:sz w:val="20"/>
        </w:rPr>
        <w:t>470</w:t>
      </w:r>
      <w:r w:rsidR="00AA64D3" w:rsidRPr="005C411B">
        <w:rPr>
          <w:rFonts w:ascii="Arial" w:hAnsi="Arial" w:cs="Arial"/>
          <w:sz w:val="20"/>
        </w:rPr>
        <w:t xml:space="preserve">€ /unit in energy </w:t>
      </w:r>
      <w:r w:rsidR="00C90DE8" w:rsidRPr="005C411B">
        <w:rPr>
          <w:rFonts w:ascii="Arial" w:hAnsi="Arial" w:cs="Arial"/>
          <w:sz w:val="20"/>
        </w:rPr>
        <w:t xml:space="preserve">and water </w:t>
      </w:r>
      <w:r w:rsidR="00AA64D3" w:rsidRPr="005C411B">
        <w:rPr>
          <w:rFonts w:ascii="Arial" w:hAnsi="Arial" w:cs="Arial"/>
          <w:sz w:val="20"/>
        </w:rPr>
        <w:t xml:space="preserve">over </w:t>
      </w:r>
      <w:r w:rsidR="00946D21" w:rsidRPr="005C411B">
        <w:rPr>
          <w:rFonts w:ascii="Arial" w:hAnsi="Arial" w:cs="Arial"/>
          <w:sz w:val="20"/>
        </w:rPr>
        <w:t>their lifetime</w:t>
      </w:r>
      <w:r w:rsidR="00081935" w:rsidRPr="005C411B">
        <w:rPr>
          <w:rFonts w:ascii="Arial" w:hAnsi="Arial" w:cs="Arial"/>
          <w:sz w:val="20"/>
        </w:rPr>
        <w:t>.</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77777777"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77777777"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5C411B">
        <w:rPr>
          <w:rFonts w:ascii="Arial" w:hAnsi="Arial" w:cs="Arial"/>
          <w:b/>
          <w:smallCaps/>
          <w:szCs w:val="24"/>
        </w:rPr>
        <w:t>Dishwashers</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314CF8B4" w14:textId="77777777" w:rsidR="003A5677" w:rsidRPr="00B67515" w:rsidRDefault="008765D5" w:rsidP="003A5677">
      <w:pPr>
        <w:numPr>
          <w:ilvl w:val="0"/>
          <w:numId w:val="6"/>
        </w:numPr>
        <w:spacing w:after="0" w:line="300" w:lineRule="exact"/>
        <w:jc w:val="both"/>
        <w:rPr>
          <w:rFonts w:ascii="Arial" w:hAnsi="Arial" w:cs="Arial"/>
          <w:b/>
          <w:sz w:val="20"/>
        </w:rPr>
      </w:pPr>
      <w:r>
        <w:rPr>
          <w:rFonts w:ascii="Arial" w:hAnsi="Arial" w:cs="Arial"/>
          <w:b/>
          <w:sz w:val="20"/>
        </w:rPr>
        <w:t>Energy class</w:t>
      </w:r>
    </w:p>
    <w:p w14:paraId="70EDDD24" w14:textId="77777777" w:rsidR="003A5677" w:rsidRPr="00B67515" w:rsidRDefault="005C411B" w:rsidP="003A5677">
      <w:pPr>
        <w:spacing w:line="300" w:lineRule="exact"/>
        <w:jc w:val="both"/>
        <w:rPr>
          <w:rFonts w:ascii="Arial" w:hAnsi="Arial" w:cs="Arial"/>
          <w:sz w:val="20"/>
        </w:rPr>
      </w:pPr>
      <w:r>
        <w:rPr>
          <w:rFonts w:ascii="Arial" w:hAnsi="Arial" w:cs="Arial"/>
          <w:sz w:val="20"/>
        </w:rPr>
        <w:t>Dishwashers</w:t>
      </w:r>
      <w:r w:rsidR="008765D5">
        <w:rPr>
          <w:rFonts w:ascii="Arial" w:hAnsi="Arial" w:cs="Arial"/>
          <w:sz w:val="20"/>
        </w:rPr>
        <w:t xml:space="preserve"> must have energy efficiency class A+</w:t>
      </w:r>
      <w:r>
        <w:rPr>
          <w:rFonts w:ascii="Arial" w:hAnsi="Arial" w:cs="Arial"/>
          <w:sz w:val="20"/>
        </w:rPr>
        <w:t>++</w:t>
      </w:r>
      <w:r w:rsidR="008765D5">
        <w:rPr>
          <w:rFonts w:ascii="Arial" w:hAnsi="Arial" w:cs="Arial"/>
          <w:sz w:val="20"/>
        </w:rPr>
        <w:t>, according to European Energy Label.</w:t>
      </w:r>
    </w:p>
    <w:p w14:paraId="539C09E7" w14:textId="77777777" w:rsidR="00640B40" w:rsidRPr="00640B40" w:rsidRDefault="005C411B" w:rsidP="00640B40">
      <w:pPr>
        <w:numPr>
          <w:ilvl w:val="0"/>
          <w:numId w:val="6"/>
        </w:numPr>
        <w:spacing w:after="0" w:line="300" w:lineRule="exact"/>
        <w:jc w:val="both"/>
        <w:rPr>
          <w:rFonts w:ascii="Arial" w:hAnsi="Arial" w:cs="Arial"/>
          <w:b/>
          <w:sz w:val="20"/>
        </w:rPr>
      </w:pPr>
      <w:r>
        <w:rPr>
          <w:rFonts w:ascii="Arial" w:hAnsi="Arial" w:cs="Arial"/>
          <w:b/>
          <w:sz w:val="20"/>
        </w:rPr>
        <w:t>Drying class</w:t>
      </w:r>
    </w:p>
    <w:p w14:paraId="2434C573" w14:textId="77777777" w:rsidR="00640B40" w:rsidRPr="00012008" w:rsidRDefault="00951EEA" w:rsidP="0015113E">
      <w:pPr>
        <w:spacing w:after="0" w:line="300" w:lineRule="exact"/>
        <w:jc w:val="both"/>
        <w:rPr>
          <w:rFonts w:ascii="Arial" w:hAnsi="Arial" w:cs="Arial"/>
          <w:sz w:val="20"/>
        </w:rPr>
      </w:pPr>
      <w:r>
        <w:rPr>
          <w:rFonts w:ascii="Arial" w:hAnsi="Arial" w:cs="Arial"/>
          <w:sz w:val="20"/>
        </w:rPr>
        <w:t>M</w:t>
      </w:r>
      <w:r w:rsidR="005C411B">
        <w:rPr>
          <w:rFonts w:ascii="Arial" w:hAnsi="Arial" w:cs="Arial"/>
          <w:sz w:val="20"/>
        </w:rPr>
        <w:t>odels must have drying class A, according to European Energy Label.</w:t>
      </w:r>
      <w:r w:rsidR="00FD4830">
        <w:rPr>
          <w:rFonts w:ascii="Arial" w:hAnsi="Arial" w:cs="Arial"/>
          <w:sz w:val="20"/>
        </w:rPr>
        <w:t xml:space="preserve"> </w:t>
      </w:r>
    </w:p>
    <w:p w14:paraId="493DF683" w14:textId="77777777" w:rsidR="00640B40" w:rsidRPr="00640B40" w:rsidRDefault="005C411B" w:rsidP="00640B40">
      <w:pPr>
        <w:numPr>
          <w:ilvl w:val="0"/>
          <w:numId w:val="6"/>
        </w:numPr>
        <w:spacing w:after="0" w:line="300" w:lineRule="exact"/>
        <w:jc w:val="both"/>
        <w:rPr>
          <w:rFonts w:ascii="Arial" w:hAnsi="Arial" w:cs="Arial"/>
          <w:b/>
          <w:sz w:val="20"/>
        </w:rPr>
      </w:pPr>
      <w:r>
        <w:rPr>
          <w:rFonts w:ascii="Arial" w:hAnsi="Arial" w:cs="Arial"/>
          <w:b/>
          <w:sz w:val="20"/>
        </w:rPr>
        <w:t xml:space="preserve">Annual </w:t>
      </w:r>
      <w:r w:rsidR="00951EEA">
        <w:rPr>
          <w:rFonts w:ascii="Arial" w:hAnsi="Arial" w:cs="Arial"/>
          <w:b/>
          <w:sz w:val="20"/>
        </w:rPr>
        <w:t>w</w:t>
      </w:r>
      <w:r>
        <w:rPr>
          <w:rFonts w:ascii="Arial" w:hAnsi="Arial" w:cs="Arial"/>
          <w:b/>
          <w:sz w:val="20"/>
        </w:rPr>
        <w:t>ater consumption</w:t>
      </w:r>
    </w:p>
    <w:p w14:paraId="6926D2E8" w14:textId="77777777"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 xml:space="preserve">The </w:t>
      </w:r>
      <w:r w:rsidR="00951EEA">
        <w:rPr>
          <w:rFonts w:ascii="Arial" w:hAnsi="Arial" w:cs="Arial"/>
          <w:sz w:val="20"/>
        </w:rPr>
        <w:t xml:space="preserve">maximum </w:t>
      </w:r>
      <w:r w:rsidR="00D26FF5">
        <w:rPr>
          <w:rFonts w:ascii="Arial" w:hAnsi="Arial" w:cs="Arial"/>
          <w:sz w:val="20"/>
        </w:rPr>
        <w:t xml:space="preserve">annual </w:t>
      </w:r>
      <w:r w:rsidR="00951EEA">
        <w:rPr>
          <w:rFonts w:ascii="Arial" w:hAnsi="Arial" w:cs="Arial"/>
          <w:sz w:val="20"/>
        </w:rPr>
        <w:t>water consumption is 2800 litres per year</w:t>
      </w:r>
      <w:r w:rsidR="003D6D66">
        <w:rPr>
          <w:rFonts w:ascii="Arial" w:hAnsi="Arial" w:cs="Arial"/>
          <w:sz w:val="20"/>
        </w:rPr>
        <w:t>.</w:t>
      </w:r>
    </w:p>
    <w:p w14:paraId="11760DE3" w14:textId="77777777" w:rsidR="00566E91" w:rsidRDefault="00566E91" w:rsidP="0015113E">
      <w:pPr>
        <w:spacing w:after="0" w:line="300" w:lineRule="exact"/>
        <w:jc w:val="both"/>
        <w:rPr>
          <w:rFonts w:ascii="Arial" w:hAnsi="Arial" w:cs="Arial"/>
          <w:sz w:val="20"/>
        </w:rPr>
      </w:pPr>
    </w:p>
    <w:p w14:paraId="028761C5" w14:textId="32C8543C" w:rsidR="006A75AB" w:rsidRPr="003D6D66" w:rsidRDefault="0036447E" w:rsidP="006A75A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r w:rsidR="00D26FF5">
        <w:rPr>
          <w:rFonts w:ascii="Arial" w:hAnsi="Arial" w:cs="Arial"/>
          <w:b/>
          <w:i/>
          <w:snapToGrid w:val="0"/>
          <w:color w:val="000000"/>
          <w:sz w:val="20"/>
          <w:lang w:eastAsia="en-US"/>
        </w:rPr>
        <w:t xml:space="preserve"> 1-</w:t>
      </w:r>
      <w:r w:rsidR="00C12359">
        <w:rPr>
          <w:rFonts w:ascii="Arial" w:hAnsi="Arial" w:cs="Arial"/>
          <w:b/>
          <w:i/>
          <w:snapToGrid w:val="0"/>
          <w:color w:val="000000"/>
          <w:sz w:val="20"/>
          <w:lang w:eastAsia="en-US"/>
        </w:rPr>
        <w:t>3</w:t>
      </w:r>
    </w:p>
    <w:p w14:paraId="1EBE6C4E" w14:textId="7249ED0B" w:rsidR="00CA3001" w:rsidRPr="00CA3001" w:rsidRDefault="00CA3001" w:rsidP="00CA3001">
      <w:pPr>
        <w:spacing w:after="0" w:line="300" w:lineRule="exact"/>
        <w:jc w:val="both"/>
        <w:rPr>
          <w:rFonts w:ascii="Arial" w:hAnsi="Arial" w:cs="Arial"/>
          <w:snapToGrid w:val="0"/>
          <w:color w:val="000000"/>
          <w:sz w:val="20"/>
          <w:lang w:eastAsia="en-US"/>
        </w:rPr>
      </w:pPr>
      <w:r w:rsidRPr="00CA3001">
        <w:rPr>
          <w:rFonts w:ascii="Arial" w:hAnsi="Arial" w:cs="Arial"/>
          <w:snapToGrid w:val="0"/>
          <w:color w:val="000000"/>
          <w:sz w:val="20"/>
          <w:lang w:eastAsia="en-US"/>
        </w:rPr>
        <w:t>Bidders must supply a declaration regarding their product’s energy and drying</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efficiency class and water consumption, supported by technical data and results from tests carried</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out in accordance with Commission regulation No. 1059/2010, based on the measurement standard</w:t>
      </w:r>
      <w:r>
        <w:rPr>
          <w:rFonts w:ascii="Arial" w:hAnsi="Arial" w:cs="Arial"/>
          <w:snapToGrid w:val="0"/>
          <w:color w:val="000000"/>
          <w:sz w:val="20"/>
          <w:lang w:eastAsia="en-US"/>
        </w:rPr>
        <w:t xml:space="preserve"> </w:t>
      </w:r>
      <w:r w:rsidRPr="00575E0D">
        <w:rPr>
          <w:rFonts w:ascii="Arial" w:hAnsi="Arial" w:cs="Arial"/>
          <w:snapToGrid w:val="0"/>
          <w:color w:val="000000"/>
          <w:sz w:val="20"/>
          <w:lang w:eastAsia="en-US"/>
        </w:rPr>
        <w:t>EN 50242:20</w:t>
      </w:r>
      <w:r w:rsidR="00F802AC" w:rsidRPr="00575E0D">
        <w:rPr>
          <w:rFonts w:ascii="Arial" w:hAnsi="Arial" w:cs="Arial"/>
          <w:snapToGrid w:val="0"/>
          <w:color w:val="000000"/>
          <w:sz w:val="20"/>
          <w:lang w:eastAsia="en-US"/>
        </w:rPr>
        <w:t>16</w:t>
      </w:r>
      <w:r w:rsidRPr="00CA3001">
        <w:rPr>
          <w:rFonts w:ascii="Arial" w:hAnsi="Arial" w:cs="Arial"/>
          <w:snapToGrid w:val="0"/>
          <w:color w:val="000000"/>
          <w:sz w:val="20"/>
          <w:lang w:eastAsia="en-US"/>
        </w:rPr>
        <w:t xml:space="preserve"> or equivalent, or a relevant third-party certification/Type I eco-label attesting to</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compliance</w:t>
      </w:r>
      <w:r w:rsidR="006230A3">
        <w:rPr>
          <w:rFonts w:ascii="Arial" w:hAnsi="Arial" w:cs="Arial"/>
          <w:snapToGrid w:val="0"/>
          <w:color w:val="000000"/>
          <w:sz w:val="20"/>
          <w:lang w:eastAsia="en-US"/>
        </w:rPr>
        <w:t>.</w:t>
      </w:r>
    </w:p>
    <w:p w14:paraId="6FF72EFF" w14:textId="77777777" w:rsidR="00FA3054" w:rsidRDefault="00FA3054" w:rsidP="00566E91">
      <w:pPr>
        <w:spacing w:after="240" w:line="300" w:lineRule="exact"/>
        <w:rPr>
          <w:rFonts w:ascii="Arial" w:hAnsi="Arial" w:cs="Arial"/>
          <w:smallCaps/>
          <w:szCs w:val="24"/>
          <w:u w:val="single"/>
        </w:rPr>
      </w:pPr>
    </w:p>
    <w:p w14:paraId="0AF4B925" w14:textId="4A531270" w:rsidR="00566E91" w:rsidRPr="00B67515" w:rsidRDefault="00566E91" w:rsidP="00566E9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7AE5D2F8" w14:textId="77777777" w:rsidR="001D1304" w:rsidRDefault="00F56011" w:rsidP="00FA3054">
      <w:pPr>
        <w:spacing w:after="0" w:line="300" w:lineRule="exact"/>
        <w:rPr>
          <w:rFonts w:ascii="Arial" w:hAnsi="Arial" w:cs="Arial"/>
          <w:sz w:val="20"/>
        </w:rPr>
        <w:sectPr w:rsidR="001D1304" w:rsidSect="0015113E">
          <w:headerReference w:type="default" r:id="rId17"/>
          <w:footerReference w:type="default" r:id="rId18"/>
          <w:pgSz w:w="11906" w:h="16838"/>
          <w:pgMar w:top="1560" w:right="1440" w:bottom="709" w:left="1440" w:header="720" w:footer="720" w:gutter="0"/>
          <w:cols w:space="720"/>
        </w:sectPr>
      </w:pPr>
      <w:r>
        <w:rPr>
          <w:rFonts w:ascii="Arial" w:hAnsi="Arial" w:cs="Arial"/>
          <w:sz w:val="20"/>
        </w:rPr>
        <w:t xml:space="preserve">According to EU Regulation No. </w:t>
      </w:r>
      <w:r w:rsidRPr="00F56011">
        <w:rPr>
          <w:rFonts w:ascii="Arial" w:hAnsi="Arial" w:cs="Arial"/>
          <w:sz w:val="20"/>
        </w:rPr>
        <w:t xml:space="preserve">1016/2010 </w:t>
      </w:r>
      <w:r>
        <w:rPr>
          <w:rFonts w:ascii="Arial" w:hAnsi="Arial" w:cs="Arial"/>
          <w:sz w:val="20"/>
        </w:rPr>
        <w:t>some household dishwashers cannot be placed on the market</w:t>
      </w:r>
      <w:r w:rsidR="006230A3">
        <w:rPr>
          <w:rFonts w:ascii="Arial" w:hAnsi="Arial" w:cs="Arial"/>
          <w:sz w:val="20"/>
        </w:rPr>
        <w:t xml:space="preserve">. </w:t>
      </w:r>
    </w:p>
    <w:p w14:paraId="76653185" w14:textId="53E45D8D" w:rsidR="00D04834" w:rsidRPr="0038382C" w:rsidRDefault="00D04834" w:rsidP="00FA3054">
      <w:pPr>
        <w:spacing w:after="0" w:line="300" w:lineRule="exact"/>
        <w:rPr>
          <w:rFonts w:ascii="Arial" w:hAnsi="Arial" w:cs="Arial"/>
          <w:sz w:val="20"/>
        </w:rPr>
      </w:pPr>
    </w:p>
    <w:p w14:paraId="3153A0FD" w14:textId="004B351C" w:rsidR="006230A3" w:rsidRDefault="006230A3" w:rsidP="00FA3054">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Overview of energy classes allowed on the European market</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3118"/>
        <w:gridCol w:w="3544"/>
      </w:tblGrid>
      <w:tr w:rsidR="00D04834" w:rsidRPr="00A72BC5" w14:paraId="73F0F15F" w14:textId="77777777" w:rsidTr="00430056">
        <w:trPr>
          <w:trHeight w:val="737"/>
        </w:trPr>
        <w:tc>
          <w:tcPr>
            <w:tcW w:w="2155" w:type="dxa"/>
            <w:vMerge w:val="restart"/>
            <w:tcBorders>
              <w:top w:val="nil"/>
              <w:left w:val="nil"/>
              <w:bottom w:val="nil"/>
              <w:right w:val="nil"/>
            </w:tcBorders>
          </w:tcPr>
          <w:p w14:paraId="2329AD96" w14:textId="77777777" w:rsidR="00D04834" w:rsidRPr="0038382C" w:rsidRDefault="00B8371D" w:rsidP="00FA3054">
            <w:pPr>
              <w:keepNext/>
              <w:spacing w:after="0"/>
              <w:jc w:val="both"/>
              <w:rPr>
                <w:rFonts w:ascii="Arial" w:hAnsi="Arial" w:cs="Arial"/>
                <w:sz w:val="20"/>
              </w:rPr>
            </w:pPr>
            <w:r>
              <w:rPr>
                <w:noProof/>
                <w:lang w:val="pt-PT" w:eastAsia="pt-PT"/>
              </w:rPr>
              <w:drawing>
                <wp:inline distT="0" distB="0" distL="0" distR="0" wp14:anchorId="374E3A0A" wp14:editId="4D92D456">
                  <wp:extent cx="1152525" cy="2409825"/>
                  <wp:effectExtent l="0" t="0" r="3175" b="3175"/>
                  <wp:docPr id="5" name="Imagem 1" descr="http://www.staticwhich.co.uk/media/images/in-content2/dishwasher_label-31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staticwhich.co.uk/media/images/in-content2/dishwasher_label-315128.jpg"/>
                          <pic:cNvPicPr>
                            <a:picLocks noChangeAspect="1" noChangeArrowheads="1"/>
                          </pic:cNvPicPr>
                        </pic:nvPicPr>
                        <pic:blipFill>
                          <a:blip r:embed="rId19"/>
                          <a:srcRect/>
                          <a:stretch>
                            <a:fillRect/>
                          </a:stretch>
                        </pic:blipFill>
                        <pic:spPr bwMode="auto">
                          <a:xfrm>
                            <a:off x="0" y="0"/>
                            <a:ext cx="1152525" cy="2409825"/>
                          </a:xfrm>
                          <a:prstGeom prst="rect">
                            <a:avLst/>
                          </a:prstGeom>
                          <a:noFill/>
                          <a:ln w="9525">
                            <a:noFill/>
                            <a:miter lim="800000"/>
                            <a:headEnd/>
                            <a:tailEnd/>
                          </a:ln>
                        </pic:spPr>
                      </pic:pic>
                    </a:graphicData>
                  </a:graphic>
                </wp:inline>
              </w:drawing>
            </w:r>
          </w:p>
        </w:tc>
        <w:tc>
          <w:tcPr>
            <w:tcW w:w="3118" w:type="dxa"/>
            <w:tcBorders>
              <w:top w:val="nil"/>
              <w:left w:val="nil"/>
              <w:bottom w:val="single" w:sz="4" w:space="0" w:color="auto"/>
              <w:right w:val="nil"/>
            </w:tcBorders>
            <w:vAlign w:val="center"/>
          </w:tcPr>
          <w:p w14:paraId="10F5071F" w14:textId="77777777" w:rsidR="00D04834" w:rsidRPr="00A72BC5" w:rsidRDefault="00D04834" w:rsidP="00430056">
            <w:pPr>
              <w:keepNext/>
              <w:spacing w:after="0"/>
              <w:rPr>
                <w:rFonts w:ascii="Arial" w:hAnsi="Arial" w:cs="Arial"/>
                <w:b/>
                <w:sz w:val="20"/>
              </w:rPr>
            </w:pPr>
            <w:r>
              <w:rPr>
                <w:rFonts w:ascii="Arial" w:hAnsi="Arial" w:cs="Arial"/>
                <w:b/>
                <w:sz w:val="20"/>
              </w:rPr>
              <w:t>Currently</w:t>
            </w:r>
          </w:p>
        </w:tc>
        <w:tc>
          <w:tcPr>
            <w:tcW w:w="3544" w:type="dxa"/>
            <w:tcBorders>
              <w:top w:val="nil"/>
              <w:left w:val="nil"/>
              <w:bottom w:val="single" w:sz="4" w:space="0" w:color="auto"/>
              <w:right w:val="nil"/>
            </w:tcBorders>
            <w:vAlign w:val="center"/>
          </w:tcPr>
          <w:p w14:paraId="231EE982" w14:textId="77777777" w:rsidR="00D04834" w:rsidRPr="00A72BC5" w:rsidRDefault="00D04834" w:rsidP="00430056">
            <w:pPr>
              <w:spacing w:after="0" w:line="300" w:lineRule="exact"/>
              <w:rPr>
                <w:rFonts w:ascii="Arial" w:hAnsi="Arial" w:cs="Arial"/>
                <w:sz w:val="20"/>
              </w:rPr>
            </w:pPr>
          </w:p>
        </w:tc>
      </w:tr>
      <w:tr w:rsidR="00D04834" w:rsidRPr="00EB6225" w14:paraId="7AFB6A6C" w14:textId="77777777" w:rsidTr="00430056">
        <w:trPr>
          <w:trHeight w:val="454"/>
        </w:trPr>
        <w:tc>
          <w:tcPr>
            <w:tcW w:w="2155" w:type="dxa"/>
            <w:vMerge/>
            <w:tcBorders>
              <w:top w:val="nil"/>
              <w:left w:val="nil"/>
              <w:bottom w:val="nil"/>
              <w:right w:val="nil"/>
            </w:tcBorders>
          </w:tcPr>
          <w:p w14:paraId="7D68BED9" w14:textId="77777777" w:rsidR="00D04834" w:rsidRPr="00A72BC5" w:rsidRDefault="00D04834" w:rsidP="00FA3054">
            <w:pPr>
              <w:keepNext/>
              <w:spacing w:after="0"/>
              <w:jc w:val="both"/>
              <w:rPr>
                <w:rFonts w:ascii="Arial" w:hAnsi="Arial" w:cs="Arial"/>
                <w:sz w:val="20"/>
              </w:rPr>
            </w:pPr>
          </w:p>
        </w:tc>
        <w:tc>
          <w:tcPr>
            <w:tcW w:w="3118" w:type="dxa"/>
            <w:tcBorders>
              <w:top w:val="single" w:sz="4" w:space="0" w:color="auto"/>
              <w:left w:val="nil"/>
              <w:bottom w:val="single" w:sz="4" w:space="0" w:color="auto"/>
              <w:right w:val="nil"/>
            </w:tcBorders>
            <w:vAlign w:val="center"/>
          </w:tcPr>
          <w:p w14:paraId="366E760E" w14:textId="77777777" w:rsidR="00D04834" w:rsidRPr="00A72BC5" w:rsidRDefault="00D04834" w:rsidP="00FA3054">
            <w:pPr>
              <w:keepNext/>
              <w:spacing w:after="0"/>
              <w:rPr>
                <w:rFonts w:ascii="Arial" w:hAnsi="Arial" w:cs="Arial"/>
                <w:sz w:val="20"/>
              </w:rPr>
            </w:pPr>
            <w:r w:rsidRPr="00EA735C">
              <w:rPr>
                <w:rFonts w:ascii="Arial" w:hAnsi="Arial" w:cs="Arial"/>
                <w:sz w:val="20"/>
              </w:rPr>
              <w:t>Minimum energy class A+</w:t>
            </w:r>
          </w:p>
        </w:tc>
        <w:tc>
          <w:tcPr>
            <w:tcW w:w="3544" w:type="dxa"/>
            <w:tcBorders>
              <w:top w:val="single" w:sz="4" w:space="0" w:color="auto"/>
              <w:left w:val="nil"/>
              <w:bottom w:val="single" w:sz="4" w:space="0" w:color="auto"/>
              <w:right w:val="nil"/>
            </w:tcBorders>
            <w:vAlign w:val="center"/>
          </w:tcPr>
          <w:p w14:paraId="46B3CE3A" w14:textId="77777777" w:rsidR="00D04834" w:rsidRPr="00A72BC5" w:rsidRDefault="00D04834" w:rsidP="006D3BAD">
            <w:pPr>
              <w:spacing w:after="0" w:line="300" w:lineRule="exact"/>
              <w:rPr>
                <w:rFonts w:ascii="Arial" w:hAnsi="Arial" w:cs="Arial"/>
                <w:sz w:val="20"/>
                <w:lang w:val="pt-PT"/>
              </w:rPr>
            </w:pPr>
            <w:r w:rsidRPr="00EA735C">
              <w:rPr>
                <w:rFonts w:ascii="Arial" w:hAnsi="Arial" w:cs="Arial"/>
                <w:sz w:val="20"/>
              </w:rPr>
              <w:t xml:space="preserve">capacity </w:t>
            </w:r>
            <w:r w:rsidRPr="00EA735C">
              <w:rPr>
                <w:rFonts w:ascii="Verdana" w:hAnsi="Verdana" w:cs="Arial"/>
                <w:sz w:val="20"/>
              </w:rPr>
              <w:t>≥</w:t>
            </w:r>
            <w:r w:rsidRPr="00EA735C">
              <w:rPr>
                <w:rFonts w:ascii="Arial" w:hAnsi="Arial" w:cs="Arial"/>
                <w:sz w:val="20"/>
              </w:rPr>
              <w:t xml:space="preserve"> 8 place settings</w:t>
            </w:r>
          </w:p>
        </w:tc>
      </w:tr>
      <w:tr w:rsidR="00D04834" w:rsidRPr="00EB6225" w14:paraId="4D3D6DAC" w14:textId="77777777" w:rsidTr="00430056">
        <w:trPr>
          <w:trHeight w:val="454"/>
        </w:trPr>
        <w:tc>
          <w:tcPr>
            <w:tcW w:w="2155" w:type="dxa"/>
            <w:vMerge/>
            <w:tcBorders>
              <w:top w:val="nil"/>
              <w:left w:val="nil"/>
              <w:bottom w:val="nil"/>
              <w:right w:val="nil"/>
            </w:tcBorders>
          </w:tcPr>
          <w:p w14:paraId="1A2EABE5" w14:textId="77777777" w:rsidR="00D04834" w:rsidRPr="00A72BC5" w:rsidRDefault="00D04834" w:rsidP="00FA3054">
            <w:pPr>
              <w:keepNext/>
              <w:spacing w:after="0"/>
              <w:jc w:val="both"/>
              <w:rPr>
                <w:rFonts w:ascii="Arial" w:hAnsi="Arial" w:cs="Arial"/>
                <w:sz w:val="20"/>
                <w:lang w:val="pt-PT"/>
              </w:rPr>
            </w:pPr>
          </w:p>
        </w:tc>
        <w:tc>
          <w:tcPr>
            <w:tcW w:w="3118" w:type="dxa"/>
            <w:tcBorders>
              <w:top w:val="single" w:sz="4" w:space="0" w:color="auto"/>
              <w:left w:val="nil"/>
              <w:bottom w:val="single" w:sz="4" w:space="0" w:color="auto"/>
              <w:right w:val="nil"/>
            </w:tcBorders>
            <w:vAlign w:val="center"/>
          </w:tcPr>
          <w:p w14:paraId="0B853102" w14:textId="77777777" w:rsidR="00D04834" w:rsidRPr="00A72BC5" w:rsidRDefault="00D04834" w:rsidP="00FA3054">
            <w:pPr>
              <w:keepNext/>
              <w:spacing w:after="0"/>
              <w:rPr>
                <w:rFonts w:ascii="Arial" w:hAnsi="Arial" w:cs="Arial"/>
                <w:sz w:val="20"/>
                <w:lang w:val="pt-PT"/>
              </w:rPr>
            </w:pPr>
            <w:r w:rsidRPr="00EA735C">
              <w:rPr>
                <w:rFonts w:ascii="Arial" w:hAnsi="Arial" w:cs="Arial"/>
                <w:sz w:val="20"/>
              </w:rPr>
              <w:t>Minimum drying class A</w:t>
            </w:r>
          </w:p>
        </w:tc>
        <w:tc>
          <w:tcPr>
            <w:tcW w:w="3544" w:type="dxa"/>
            <w:tcBorders>
              <w:top w:val="single" w:sz="4" w:space="0" w:color="auto"/>
              <w:left w:val="nil"/>
              <w:bottom w:val="single" w:sz="4" w:space="0" w:color="auto"/>
              <w:right w:val="nil"/>
            </w:tcBorders>
            <w:vAlign w:val="center"/>
          </w:tcPr>
          <w:p w14:paraId="0FB5D1C7" w14:textId="77777777" w:rsidR="00D04834" w:rsidRPr="00A72BC5" w:rsidRDefault="00D04834" w:rsidP="006D3BAD">
            <w:pPr>
              <w:spacing w:after="0" w:line="300" w:lineRule="exact"/>
              <w:rPr>
                <w:rFonts w:ascii="Arial" w:hAnsi="Arial" w:cs="Arial"/>
                <w:sz w:val="20"/>
              </w:rPr>
            </w:pPr>
            <w:r w:rsidRPr="00EA735C">
              <w:rPr>
                <w:rFonts w:ascii="Arial" w:hAnsi="Arial" w:cs="Arial"/>
                <w:sz w:val="20"/>
              </w:rPr>
              <w:t xml:space="preserve">capacity </w:t>
            </w:r>
            <w:r w:rsidRPr="00EA735C">
              <w:rPr>
                <w:rFonts w:ascii="Verdana" w:hAnsi="Verdana" w:cs="Arial"/>
                <w:sz w:val="20"/>
              </w:rPr>
              <w:t>≥</w:t>
            </w:r>
            <w:r w:rsidRPr="00EA735C">
              <w:rPr>
                <w:rFonts w:ascii="Arial" w:hAnsi="Arial" w:cs="Arial"/>
                <w:sz w:val="20"/>
              </w:rPr>
              <w:t xml:space="preserve"> 8 place settings</w:t>
            </w:r>
          </w:p>
        </w:tc>
      </w:tr>
      <w:tr w:rsidR="00D04834" w:rsidRPr="00A72BC5" w14:paraId="59130F70" w14:textId="77777777" w:rsidTr="00430056">
        <w:trPr>
          <w:trHeight w:val="454"/>
        </w:trPr>
        <w:tc>
          <w:tcPr>
            <w:tcW w:w="2155" w:type="dxa"/>
            <w:vMerge/>
            <w:tcBorders>
              <w:top w:val="nil"/>
              <w:left w:val="nil"/>
              <w:bottom w:val="nil"/>
              <w:right w:val="nil"/>
            </w:tcBorders>
          </w:tcPr>
          <w:p w14:paraId="48A54A08" w14:textId="77777777" w:rsidR="00D04834" w:rsidRPr="00A72BC5" w:rsidRDefault="00D04834" w:rsidP="00FA3054">
            <w:pPr>
              <w:keepNext/>
              <w:spacing w:after="0"/>
              <w:jc w:val="both"/>
              <w:rPr>
                <w:rFonts w:ascii="Arial" w:hAnsi="Arial" w:cs="Arial"/>
                <w:sz w:val="20"/>
                <w:lang w:val="pt-PT"/>
              </w:rPr>
            </w:pPr>
          </w:p>
        </w:tc>
        <w:tc>
          <w:tcPr>
            <w:tcW w:w="3118" w:type="dxa"/>
            <w:tcBorders>
              <w:top w:val="single" w:sz="4" w:space="0" w:color="auto"/>
              <w:left w:val="nil"/>
              <w:bottom w:val="single" w:sz="4" w:space="0" w:color="auto"/>
              <w:right w:val="nil"/>
            </w:tcBorders>
            <w:vAlign w:val="center"/>
          </w:tcPr>
          <w:p w14:paraId="0815F9FD" w14:textId="77777777" w:rsidR="00D04834" w:rsidRPr="00A72BC5" w:rsidRDefault="00D04834" w:rsidP="00FA3054">
            <w:pPr>
              <w:keepNext/>
              <w:spacing w:after="0"/>
              <w:rPr>
                <w:rFonts w:ascii="Arial" w:hAnsi="Arial" w:cs="Arial"/>
                <w:sz w:val="20"/>
                <w:lang w:val="pt-PT"/>
              </w:rPr>
            </w:pPr>
            <w:r w:rsidRPr="00EA735C">
              <w:rPr>
                <w:rFonts w:ascii="Arial" w:hAnsi="Arial" w:cs="Arial"/>
                <w:sz w:val="20"/>
              </w:rPr>
              <w:t>Minimum drying class B</w:t>
            </w:r>
          </w:p>
        </w:tc>
        <w:tc>
          <w:tcPr>
            <w:tcW w:w="3544" w:type="dxa"/>
            <w:tcBorders>
              <w:top w:val="single" w:sz="4" w:space="0" w:color="auto"/>
              <w:left w:val="nil"/>
              <w:bottom w:val="single" w:sz="4" w:space="0" w:color="auto"/>
              <w:right w:val="nil"/>
            </w:tcBorders>
            <w:vAlign w:val="center"/>
          </w:tcPr>
          <w:p w14:paraId="4E2413A9" w14:textId="77777777" w:rsidR="00D04834" w:rsidRPr="00A72BC5" w:rsidRDefault="00D04834" w:rsidP="006D3BAD">
            <w:pPr>
              <w:spacing w:after="0" w:line="300" w:lineRule="exact"/>
              <w:rPr>
                <w:rFonts w:ascii="Arial" w:hAnsi="Arial" w:cs="Arial"/>
                <w:sz w:val="20"/>
              </w:rPr>
            </w:pPr>
            <w:r w:rsidRPr="00EA735C">
              <w:rPr>
                <w:rFonts w:ascii="Arial" w:hAnsi="Arial" w:cs="Arial"/>
                <w:sz w:val="20"/>
              </w:rPr>
              <w:t xml:space="preserve">capacity </w:t>
            </w:r>
            <w:r w:rsidRPr="00EA735C">
              <w:rPr>
                <w:rFonts w:ascii="Verdana" w:hAnsi="Verdana" w:cs="Arial"/>
                <w:sz w:val="20"/>
              </w:rPr>
              <w:t>≤</w:t>
            </w:r>
            <w:r w:rsidRPr="00EA735C">
              <w:rPr>
                <w:rFonts w:ascii="Arial" w:hAnsi="Arial" w:cs="Arial"/>
                <w:sz w:val="20"/>
              </w:rPr>
              <w:t xml:space="preserve"> 7 place settings</w:t>
            </w:r>
          </w:p>
        </w:tc>
      </w:tr>
      <w:tr w:rsidR="00D04834" w:rsidRPr="00A72BC5" w14:paraId="25BB73CC" w14:textId="77777777" w:rsidTr="00430056">
        <w:trPr>
          <w:trHeight w:val="454"/>
        </w:trPr>
        <w:tc>
          <w:tcPr>
            <w:tcW w:w="2155" w:type="dxa"/>
            <w:vMerge/>
            <w:tcBorders>
              <w:top w:val="nil"/>
              <w:left w:val="nil"/>
              <w:bottom w:val="nil"/>
              <w:right w:val="nil"/>
            </w:tcBorders>
          </w:tcPr>
          <w:p w14:paraId="4B441BBF" w14:textId="77777777" w:rsidR="00D04834" w:rsidRPr="00A72BC5" w:rsidRDefault="00D04834" w:rsidP="00FA3054">
            <w:pPr>
              <w:keepNext/>
              <w:spacing w:after="0"/>
              <w:jc w:val="both"/>
              <w:rPr>
                <w:rFonts w:ascii="Arial" w:hAnsi="Arial" w:cs="Arial"/>
                <w:sz w:val="20"/>
              </w:rPr>
            </w:pPr>
          </w:p>
        </w:tc>
        <w:tc>
          <w:tcPr>
            <w:tcW w:w="6662" w:type="dxa"/>
            <w:gridSpan w:val="2"/>
            <w:tcBorders>
              <w:top w:val="single" w:sz="4" w:space="0" w:color="auto"/>
              <w:left w:val="nil"/>
              <w:bottom w:val="nil"/>
              <w:right w:val="nil"/>
            </w:tcBorders>
            <w:vAlign w:val="center"/>
          </w:tcPr>
          <w:p w14:paraId="0EE942FC" w14:textId="77777777" w:rsidR="00D04834" w:rsidRPr="00A72BC5" w:rsidRDefault="00D04834" w:rsidP="00FA3054">
            <w:pPr>
              <w:keepNext/>
              <w:spacing w:after="0"/>
              <w:rPr>
                <w:rFonts w:ascii="Arial" w:hAnsi="Arial" w:cs="Arial"/>
                <w:sz w:val="20"/>
              </w:rPr>
            </w:pPr>
          </w:p>
        </w:tc>
      </w:tr>
    </w:tbl>
    <w:p w14:paraId="3A19068A" w14:textId="77777777"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DC4837">
        <w:rPr>
          <w:rFonts w:ascii="Arial" w:hAnsi="Arial" w:cs="Arial"/>
          <w:sz w:val="20"/>
        </w:rPr>
        <w:t>dishwashers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7DFC37A8" w:rsidR="006230A3" w:rsidRDefault="006230A3" w:rsidP="00FA3054">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w:t>
      </w:r>
      <w:r w:rsidRPr="00E2685A">
        <w:t>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705FBDE2" w14:textId="77777777" w:rsidR="001F2B86" w:rsidRDefault="005413AE" w:rsidP="00DD6ED4">
            <w:pPr>
              <w:spacing w:after="0" w:line="280" w:lineRule="exact"/>
              <w:rPr>
                <w:rFonts w:ascii="Arial" w:hAnsi="Arial" w:cs="Arial"/>
                <w:sz w:val="20"/>
              </w:rPr>
            </w:pPr>
            <w:r w:rsidRPr="005413AE">
              <w:rPr>
                <w:rFonts w:ascii="Arial" w:hAnsi="Arial" w:cs="Arial"/>
                <w:sz w:val="20"/>
              </w:rPr>
              <w:t>Annual energy consumption, in kWh/year</w:t>
            </w:r>
            <w:r>
              <w:rPr>
                <w:rFonts w:ascii="Arial" w:hAnsi="Arial" w:cs="Arial"/>
                <w:sz w:val="20"/>
              </w:rPr>
              <w:t>,</w:t>
            </w:r>
            <w:r w:rsidRPr="005413AE">
              <w:rPr>
                <w:rFonts w:ascii="Arial" w:hAnsi="Arial" w:cs="Arial"/>
                <w:sz w:val="20"/>
              </w:rPr>
              <w:t xml:space="preserve"> x nº units</w:t>
            </w:r>
          </w:p>
          <w:p w14:paraId="24046776" w14:textId="77777777" w:rsidR="005413AE" w:rsidRPr="00B67515" w:rsidRDefault="005413AE" w:rsidP="00DD6ED4">
            <w:pPr>
              <w:spacing w:after="0" w:line="280" w:lineRule="exact"/>
              <w:rPr>
                <w:rFonts w:ascii="Arial" w:hAnsi="Arial" w:cs="Arial"/>
                <w:sz w:val="20"/>
              </w:rPr>
            </w:pPr>
            <w:r w:rsidRPr="005413AE">
              <w:rPr>
                <w:rFonts w:ascii="Arial" w:hAnsi="Arial" w:cs="Arial"/>
                <w:sz w:val="20"/>
              </w:rPr>
              <w:t>Annual water consumption, in l/year</w:t>
            </w:r>
            <w:r>
              <w:rPr>
                <w:rFonts w:ascii="Arial" w:hAnsi="Arial" w:cs="Arial"/>
                <w:sz w:val="20"/>
              </w:rPr>
              <w:t>,</w:t>
            </w:r>
            <w:r w:rsidRPr="005413AE">
              <w:rPr>
                <w:rFonts w:ascii="Arial" w:hAnsi="Arial" w:cs="Arial"/>
                <w:sz w:val="20"/>
              </w:rPr>
              <w:t xml:space="preserve"> x nº units</w:t>
            </w:r>
          </w:p>
        </w:tc>
        <w:tc>
          <w:tcPr>
            <w:tcW w:w="2665" w:type="dxa"/>
            <w:vAlign w:val="center"/>
          </w:tcPr>
          <w:p w14:paraId="5801E41F" w14:textId="77777777" w:rsidR="001F2B86" w:rsidRDefault="001F2B86" w:rsidP="00E51362">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p w14:paraId="5B995353" w14:textId="77777777" w:rsidR="00DC4837" w:rsidRPr="00B67515" w:rsidRDefault="00DC4837" w:rsidP="00D04834">
            <w:pPr>
              <w:spacing w:after="0" w:line="280" w:lineRule="exact"/>
              <w:jc w:val="center"/>
              <w:rPr>
                <w:rFonts w:ascii="Arial" w:hAnsi="Arial" w:cs="Arial"/>
                <w:sz w:val="20"/>
              </w:rPr>
            </w:pPr>
            <w:r>
              <w:rPr>
                <w:rFonts w:ascii="Arial" w:hAnsi="Arial" w:cs="Arial"/>
                <w:sz w:val="20"/>
              </w:rPr>
              <w:t>Water cost</w:t>
            </w:r>
            <w:r w:rsidRPr="00B67515">
              <w:rPr>
                <w:rFonts w:ascii="Arial" w:hAnsi="Arial" w:cs="Arial"/>
                <w:sz w:val="20"/>
              </w:rPr>
              <w:t>**</w:t>
            </w:r>
            <w:r>
              <w:rPr>
                <w:rFonts w:ascii="Arial" w:hAnsi="Arial" w:cs="Arial"/>
                <w:sz w:val="20"/>
              </w:rPr>
              <w:t xml:space="preserve">: </w:t>
            </w:r>
            <w:r w:rsidR="00D04834">
              <w:rPr>
                <w:rFonts w:ascii="Arial" w:hAnsi="Arial" w:cs="Arial"/>
                <w:sz w:val="20"/>
              </w:rPr>
              <w:t>2</w:t>
            </w:r>
            <w:r>
              <w:rPr>
                <w:rFonts w:ascii="Arial" w:hAnsi="Arial" w:cs="Arial"/>
                <w:sz w:val="20"/>
              </w:rPr>
              <w:t>,</w:t>
            </w:r>
            <w:r w:rsidR="00D04834">
              <w:rPr>
                <w:rFonts w:ascii="Arial" w:hAnsi="Arial" w:cs="Arial"/>
                <w:sz w:val="20"/>
              </w:rPr>
              <w:t>6</w:t>
            </w:r>
            <w:r>
              <w:rPr>
                <w:rFonts w:ascii="Arial" w:hAnsi="Arial" w:cs="Arial"/>
                <w:sz w:val="20"/>
              </w:rPr>
              <w:t> €/m</w:t>
            </w:r>
            <w:r w:rsidRPr="00DC4837">
              <w:rPr>
                <w:rFonts w:ascii="Arial" w:hAnsi="Arial" w:cs="Arial"/>
                <w:sz w:val="20"/>
                <w:vertAlign w:val="superscript"/>
              </w:rPr>
              <w:t>3</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313D98B7" w14:textId="77777777"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xml:space="preserve">* Example of how use costs can be determined. </w:t>
      </w:r>
      <w:r w:rsidR="004B2A23" w:rsidRPr="004B2A23">
        <w:rPr>
          <w:rFonts w:ascii="Arial" w:hAnsi="Arial" w:cs="Arial"/>
          <w:sz w:val="16"/>
          <w:szCs w:val="16"/>
          <w:lang w:val="en-US"/>
        </w:rPr>
        <w:t>In the EU regulation the annual energy consumption calculation considers 280 cleaning cycles</w:t>
      </w:r>
      <w:r w:rsidR="00233F5D">
        <w:rPr>
          <w:rFonts w:ascii="Arial" w:hAnsi="Arial" w:cs="Arial"/>
          <w:sz w:val="16"/>
          <w:szCs w:val="16"/>
          <w:lang w:val="en-US"/>
        </w:rPr>
        <w:t>,</w:t>
      </w:r>
      <w:r w:rsidR="004B2A23" w:rsidRPr="004B2A23">
        <w:rPr>
          <w:rFonts w:ascii="Arial" w:hAnsi="Arial" w:cs="Arial"/>
          <w:sz w:val="16"/>
          <w:szCs w:val="16"/>
          <w:lang w:val="en-US"/>
        </w:rPr>
        <w:t xml:space="preserve"> </w:t>
      </w:r>
      <w:r w:rsidR="00233F5D">
        <w:rPr>
          <w:rFonts w:ascii="Arial" w:hAnsi="Arial" w:cs="Arial"/>
          <w:sz w:val="16"/>
          <w:szCs w:val="16"/>
          <w:lang w:val="en-US"/>
        </w:rPr>
        <w:t xml:space="preserve">the </w:t>
      </w:r>
      <w:r w:rsidR="004B2A23" w:rsidRPr="004B2A23">
        <w:rPr>
          <w:rFonts w:ascii="Arial" w:hAnsi="Arial" w:cs="Arial"/>
          <w:sz w:val="16"/>
          <w:szCs w:val="16"/>
          <w:lang w:val="en-US"/>
        </w:rPr>
        <w:t xml:space="preserve">left-on and off-mode </w:t>
      </w:r>
      <w:r w:rsidR="00C413EE">
        <w:rPr>
          <w:rFonts w:ascii="Arial" w:hAnsi="Arial" w:cs="Arial"/>
          <w:sz w:val="16"/>
          <w:szCs w:val="16"/>
          <w:lang w:val="en-US"/>
        </w:rPr>
        <w:t>consumption</w:t>
      </w:r>
      <w:r w:rsidR="004B2A23" w:rsidRPr="004B2A23">
        <w:rPr>
          <w:rFonts w:ascii="Arial" w:hAnsi="Arial" w:cs="Arial"/>
          <w:sz w:val="16"/>
          <w:szCs w:val="16"/>
          <w:lang w:val="en-US"/>
        </w:rPr>
        <w:t>.</w:t>
      </w:r>
    </w:p>
    <w:p w14:paraId="23187F99" w14:textId="77777777" w:rsidR="001F2B86" w:rsidRPr="00825133"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proofErr w:type="spellStart"/>
        <w:r w:rsidRPr="001D1304">
          <w:rPr>
            <w:rStyle w:val="Hyperlink"/>
            <w:rFonts w:ascii="Arial" w:hAnsi="Arial"/>
          </w:rPr>
          <w:t>Topten</w:t>
        </w:r>
        <w:proofErr w:type="spellEnd"/>
        <w:r w:rsidRPr="001D1304">
          <w:rPr>
            <w:rStyle w:val="Hyperlink"/>
            <w:rFonts w:ascii="Arial" w:hAnsi="Arial"/>
          </w:rPr>
          <w:t xml:space="preserve">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77777777"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sectPr w:rsidR="00D8289C" w:rsidSect="0015113E">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8480" w14:textId="77777777" w:rsidR="00194D9E" w:rsidRDefault="00194D9E">
      <w:pPr>
        <w:spacing w:after="0"/>
      </w:pPr>
      <w:r>
        <w:separator/>
      </w:r>
    </w:p>
  </w:endnote>
  <w:endnote w:type="continuationSeparator" w:id="0">
    <w:p w14:paraId="788A1C8E" w14:textId="77777777" w:rsidR="00194D9E" w:rsidRDefault="00194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BEB6" w14:textId="77777777" w:rsidR="00F7420C" w:rsidRPr="00996DF5" w:rsidRDefault="00F7420C" w:rsidP="00996DF5">
    <w:pPr>
      <w:pStyle w:val="Footer"/>
      <w:pBdr>
        <w:bottom w:val="single" w:sz="4" w:space="1" w:color="auto"/>
      </w:pBdr>
      <w:tabs>
        <w:tab w:val="left" w:pos="9072"/>
      </w:tabs>
      <w:ind w:right="-46"/>
      <w:rPr>
        <w:rFonts w:ascii="Arial" w:hAnsi="Arial" w:cs="Arial"/>
        <w:sz w:val="4"/>
        <w:szCs w:val="4"/>
        <w:lang w:val="pt-PT"/>
      </w:rPr>
    </w:pPr>
  </w:p>
  <w:p w14:paraId="2BBB055D" w14:textId="77777777" w:rsidR="00F7420C" w:rsidRPr="00296A05" w:rsidRDefault="0053192B"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4D16D4">
      <w:rPr>
        <w:rStyle w:val="PageNumber"/>
        <w:rFonts w:ascii="Arial" w:hAnsi="Arial"/>
        <w:sz w:val="18"/>
        <w:szCs w:val="18"/>
      </w:rPr>
      <w:instrText>PAGE</w:instrText>
    </w:r>
    <w:r w:rsidR="00F7420C"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sidR="00A44166">
      <w:rPr>
        <w:rStyle w:val="PageNumber"/>
        <w:rFonts w:ascii="Arial" w:hAnsi="Arial"/>
        <w:noProof/>
        <w:sz w:val="18"/>
        <w:szCs w:val="18"/>
      </w:rPr>
      <w:t>3</w:t>
    </w:r>
    <w:r w:rsidRPr="00296A05">
      <w:rPr>
        <w:rStyle w:val="PageNumber"/>
        <w:rFonts w:ascii="Arial" w:hAnsi="Arial"/>
        <w:sz w:val="18"/>
        <w:szCs w:val="18"/>
      </w:rPr>
      <w:fldChar w:fldCharType="end"/>
    </w:r>
  </w:p>
  <w:p w14:paraId="0E35E935" w14:textId="77777777" w:rsidR="00F7420C" w:rsidRPr="00B67515" w:rsidRDefault="00F7420C" w:rsidP="00A06254">
    <w:pPr>
      <w:pStyle w:val="Footer"/>
      <w:ind w:right="360"/>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BF5F897" w14:textId="77777777" w:rsidTr="00B67515">
      <w:trPr>
        <w:trHeight w:val="737"/>
      </w:trPr>
      <w:tc>
        <w:tcPr>
          <w:tcW w:w="964" w:type="dxa"/>
          <w:vAlign w:val="center"/>
        </w:tcPr>
        <w:p w14:paraId="53204C46" w14:textId="77777777" w:rsidR="001D1304" w:rsidRPr="00DC4006" w:rsidRDefault="001D1304" w:rsidP="00E51362">
          <w:pPr>
            <w:spacing w:after="0"/>
            <w:rPr>
              <w:rFonts w:ascii="Arial" w:hAnsi="Arial"/>
              <w:sz w:val="16"/>
              <w:szCs w:val="16"/>
            </w:rPr>
          </w:pPr>
          <w:r>
            <w:rPr>
              <w:rFonts w:ascii="Arial" w:hAnsi="Arial"/>
              <w:noProof/>
              <w:sz w:val="16"/>
              <w:szCs w:val="16"/>
              <w:lang w:val="pt-PT" w:eastAsia="pt-PT"/>
            </w:rPr>
            <w:drawing>
              <wp:inline distT="0" distB="0" distL="0" distR="0" wp14:anchorId="6DFCF83E" wp14:editId="1CCC4415">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191B00AF" w14:textId="77777777" w:rsidR="001D1304" w:rsidRPr="00F01F6C" w:rsidRDefault="001D1304"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9FF6" w14:textId="77777777" w:rsidR="00194D9E" w:rsidRDefault="00194D9E">
      <w:pPr>
        <w:spacing w:after="0"/>
      </w:pPr>
      <w:r>
        <w:separator/>
      </w:r>
    </w:p>
  </w:footnote>
  <w:footnote w:type="continuationSeparator" w:id="0">
    <w:p w14:paraId="4D596C00" w14:textId="77777777" w:rsidR="00194D9E" w:rsidRDefault="00194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68A6" w14:textId="77777777" w:rsidR="001D1304" w:rsidRDefault="001D1304" w:rsidP="001D1304">
    <w:pPr>
      <w:pStyle w:val="Header"/>
      <w:pBdr>
        <w:bottom w:val="single" w:sz="4" w:space="1" w:color="auto"/>
      </w:pBdr>
      <w:rPr>
        <w:noProof/>
        <w:lang w:val="pt-PT" w:eastAsia="pt-PT"/>
      </w:rPr>
    </w:pPr>
    <w:r>
      <w:rPr>
        <w:noProof/>
        <w:lang w:val="pt-PT" w:eastAsia="pt-PT"/>
      </w:rPr>
      <w:drawing>
        <wp:inline distT="0" distB="0" distL="0" distR="0" wp14:anchorId="62DAA189" wp14:editId="78740113">
          <wp:extent cx="682625" cy="452755"/>
          <wp:effectExtent l="0" t="0" r="3175" b="444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155A1CDB" wp14:editId="3D11C737">
          <wp:extent cx="1308683" cy="295910"/>
          <wp:effectExtent l="0" t="0" r="0" b="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4C70B0C" w14:textId="77777777" w:rsidR="00BF13EA" w:rsidRDefault="00BF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7"/>
  </w:num>
  <w:num w:numId="3">
    <w:abstractNumId w:val="7"/>
  </w:num>
  <w:num w:numId="4">
    <w:abstractNumId w:val="7"/>
  </w:num>
  <w:num w:numId="5">
    <w:abstractNumId w:val="1"/>
  </w:num>
  <w:num w:numId="6">
    <w:abstractNumId w:val="9"/>
  </w:num>
  <w:num w:numId="7">
    <w:abstractNumId w:val="3"/>
  </w:num>
  <w:num w:numId="8">
    <w:abstractNumId w:val="0"/>
  </w:num>
  <w:num w:numId="9">
    <w:abstractNumId w:val="8"/>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2493F"/>
    <w:rsid w:val="000278BB"/>
    <w:rsid w:val="00034A0B"/>
    <w:rsid w:val="00034F6C"/>
    <w:rsid w:val="00045D50"/>
    <w:rsid w:val="00046431"/>
    <w:rsid w:val="00047E04"/>
    <w:rsid w:val="0005209D"/>
    <w:rsid w:val="000525D3"/>
    <w:rsid w:val="00070C1A"/>
    <w:rsid w:val="000758FE"/>
    <w:rsid w:val="00081935"/>
    <w:rsid w:val="00081BC8"/>
    <w:rsid w:val="00095750"/>
    <w:rsid w:val="000A4B81"/>
    <w:rsid w:val="000C3138"/>
    <w:rsid w:val="000C48B5"/>
    <w:rsid w:val="000D0036"/>
    <w:rsid w:val="000D55F5"/>
    <w:rsid w:val="000E3428"/>
    <w:rsid w:val="000E3772"/>
    <w:rsid w:val="000E5407"/>
    <w:rsid w:val="000E5A36"/>
    <w:rsid w:val="000F5F2E"/>
    <w:rsid w:val="00103C24"/>
    <w:rsid w:val="0011618D"/>
    <w:rsid w:val="00122FBD"/>
    <w:rsid w:val="0013640E"/>
    <w:rsid w:val="00137D29"/>
    <w:rsid w:val="00145F02"/>
    <w:rsid w:val="0015113E"/>
    <w:rsid w:val="00151959"/>
    <w:rsid w:val="0015485B"/>
    <w:rsid w:val="00154D6C"/>
    <w:rsid w:val="00160F9B"/>
    <w:rsid w:val="00170030"/>
    <w:rsid w:val="00170359"/>
    <w:rsid w:val="00173AA2"/>
    <w:rsid w:val="001778A0"/>
    <w:rsid w:val="00181EAE"/>
    <w:rsid w:val="001925CF"/>
    <w:rsid w:val="00194D9E"/>
    <w:rsid w:val="001A2416"/>
    <w:rsid w:val="001A3459"/>
    <w:rsid w:val="001A4A2E"/>
    <w:rsid w:val="001B7410"/>
    <w:rsid w:val="001C707A"/>
    <w:rsid w:val="001D1304"/>
    <w:rsid w:val="001F2831"/>
    <w:rsid w:val="001F2B86"/>
    <w:rsid w:val="001F3789"/>
    <w:rsid w:val="001F5DFE"/>
    <w:rsid w:val="00201227"/>
    <w:rsid w:val="00201D53"/>
    <w:rsid w:val="0020481E"/>
    <w:rsid w:val="002076E6"/>
    <w:rsid w:val="002078FF"/>
    <w:rsid w:val="00215F34"/>
    <w:rsid w:val="00232C87"/>
    <w:rsid w:val="00233F5D"/>
    <w:rsid w:val="00237A37"/>
    <w:rsid w:val="00244AEF"/>
    <w:rsid w:val="002533CD"/>
    <w:rsid w:val="00255ED4"/>
    <w:rsid w:val="002571A2"/>
    <w:rsid w:val="00267108"/>
    <w:rsid w:val="00270BFA"/>
    <w:rsid w:val="00275510"/>
    <w:rsid w:val="0028025C"/>
    <w:rsid w:val="00287D52"/>
    <w:rsid w:val="00296A05"/>
    <w:rsid w:val="002A7DA0"/>
    <w:rsid w:val="002B0D8E"/>
    <w:rsid w:val="002B115E"/>
    <w:rsid w:val="002C1B06"/>
    <w:rsid w:val="002C341E"/>
    <w:rsid w:val="002C5499"/>
    <w:rsid w:val="002D4D72"/>
    <w:rsid w:val="002D4F6A"/>
    <w:rsid w:val="002F1365"/>
    <w:rsid w:val="00300F6C"/>
    <w:rsid w:val="00303312"/>
    <w:rsid w:val="003042AC"/>
    <w:rsid w:val="003107EA"/>
    <w:rsid w:val="0031741E"/>
    <w:rsid w:val="00320B43"/>
    <w:rsid w:val="0034080D"/>
    <w:rsid w:val="00346C72"/>
    <w:rsid w:val="003515CE"/>
    <w:rsid w:val="00351E6E"/>
    <w:rsid w:val="00356A75"/>
    <w:rsid w:val="00363E71"/>
    <w:rsid w:val="0036447E"/>
    <w:rsid w:val="003655EC"/>
    <w:rsid w:val="00372D0A"/>
    <w:rsid w:val="0037762B"/>
    <w:rsid w:val="00381E01"/>
    <w:rsid w:val="00381E56"/>
    <w:rsid w:val="003833CF"/>
    <w:rsid w:val="0038382C"/>
    <w:rsid w:val="003974D4"/>
    <w:rsid w:val="00397CA1"/>
    <w:rsid w:val="003A5677"/>
    <w:rsid w:val="003A60ED"/>
    <w:rsid w:val="003A7991"/>
    <w:rsid w:val="003B4A54"/>
    <w:rsid w:val="003D6D66"/>
    <w:rsid w:val="003E6E97"/>
    <w:rsid w:val="003F142C"/>
    <w:rsid w:val="003F1A68"/>
    <w:rsid w:val="003F6730"/>
    <w:rsid w:val="00402C19"/>
    <w:rsid w:val="0041654B"/>
    <w:rsid w:val="00422EEC"/>
    <w:rsid w:val="00430056"/>
    <w:rsid w:val="00433CD5"/>
    <w:rsid w:val="004362B6"/>
    <w:rsid w:val="00436772"/>
    <w:rsid w:val="00437453"/>
    <w:rsid w:val="00437B5C"/>
    <w:rsid w:val="00442F8B"/>
    <w:rsid w:val="004434D8"/>
    <w:rsid w:val="0045031B"/>
    <w:rsid w:val="0045048A"/>
    <w:rsid w:val="00462B70"/>
    <w:rsid w:val="00463778"/>
    <w:rsid w:val="00464A67"/>
    <w:rsid w:val="00477685"/>
    <w:rsid w:val="00485EB2"/>
    <w:rsid w:val="004919E7"/>
    <w:rsid w:val="004A114E"/>
    <w:rsid w:val="004A3C1E"/>
    <w:rsid w:val="004A71E3"/>
    <w:rsid w:val="004B2938"/>
    <w:rsid w:val="004B2A23"/>
    <w:rsid w:val="004B490C"/>
    <w:rsid w:val="004D16D4"/>
    <w:rsid w:val="004D2DA1"/>
    <w:rsid w:val="004D2DFC"/>
    <w:rsid w:val="004E3460"/>
    <w:rsid w:val="004E5468"/>
    <w:rsid w:val="00502885"/>
    <w:rsid w:val="00504117"/>
    <w:rsid w:val="00506868"/>
    <w:rsid w:val="00507612"/>
    <w:rsid w:val="00514626"/>
    <w:rsid w:val="00525472"/>
    <w:rsid w:val="0053192B"/>
    <w:rsid w:val="0053672B"/>
    <w:rsid w:val="005413AE"/>
    <w:rsid w:val="00541E68"/>
    <w:rsid w:val="00544871"/>
    <w:rsid w:val="005473B9"/>
    <w:rsid w:val="00552864"/>
    <w:rsid w:val="0055335C"/>
    <w:rsid w:val="005539CB"/>
    <w:rsid w:val="00553DCB"/>
    <w:rsid w:val="005552AA"/>
    <w:rsid w:val="00555A5F"/>
    <w:rsid w:val="00555A9E"/>
    <w:rsid w:val="00556F43"/>
    <w:rsid w:val="00564882"/>
    <w:rsid w:val="00566E91"/>
    <w:rsid w:val="00567065"/>
    <w:rsid w:val="00575E0D"/>
    <w:rsid w:val="00584399"/>
    <w:rsid w:val="005944B8"/>
    <w:rsid w:val="0059645F"/>
    <w:rsid w:val="005A5E0C"/>
    <w:rsid w:val="005B3240"/>
    <w:rsid w:val="005C19C7"/>
    <w:rsid w:val="005C411B"/>
    <w:rsid w:val="005C5621"/>
    <w:rsid w:val="005D0929"/>
    <w:rsid w:val="005D2D5C"/>
    <w:rsid w:val="006020A0"/>
    <w:rsid w:val="00605D16"/>
    <w:rsid w:val="00605EB8"/>
    <w:rsid w:val="00607CC4"/>
    <w:rsid w:val="0061023C"/>
    <w:rsid w:val="006230A3"/>
    <w:rsid w:val="006337F6"/>
    <w:rsid w:val="00640B40"/>
    <w:rsid w:val="00641B57"/>
    <w:rsid w:val="006429B4"/>
    <w:rsid w:val="00644693"/>
    <w:rsid w:val="00646B71"/>
    <w:rsid w:val="006512AC"/>
    <w:rsid w:val="006532C6"/>
    <w:rsid w:val="0066123C"/>
    <w:rsid w:val="00667357"/>
    <w:rsid w:val="00673EB3"/>
    <w:rsid w:val="0067543E"/>
    <w:rsid w:val="0067768D"/>
    <w:rsid w:val="00682404"/>
    <w:rsid w:val="0068378A"/>
    <w:rsid w:val="0068440C"/>
    <w:rsid w:val="006A283F"/>
    <w:rsid w:val="006A75AB"/>
    <w:rsid w:val="006B787A"/>
    <w:rsid w:val="006C102A"/>
    <w:rsid w:val="006C5FC9"/>
    <w:rsid w:val="006C715F"/>
    <w:rsid w:val="006C7C69"/>
    <w:rsid w:val="006D4EBE"/>
    <w:rsid w:val="006D7495"/>
    <w:rsid w:val="006E37B6"/>
    <w:rsid w:val="006F412B"/>
    <w:rsid w:val="00710461"/>
    <w:rsid w:val="00711E54"/>
    <w:rsid w:val="0071352B"/>
    <w:rsid w:val="00716384"/>
    <w:rsid w:val="00717A5F"/>
    <w:rsid w:val="00720E1D"/>
    <w:rsid w:val="007240DF"/>
    <w:rsid w:val="00725ED7"/>
    <w:rsid w:val="007328B8"/>
    <w:rsid w:val="007459DB"/>
    <w:rsid w:val="0074654B"/>
    <w:rsid w:val="00746EF1"/>
    <w:rsid w:val="00750174"/>
    <w:rsid w:val="00750C2D"/>
    <w:rsid w:val="00764F94"/>
    <w:rsid w:val="0076610A"/>
    <w:rsid w:val="007711DE"/>
    <w:rsid w:val="0077203D"/>
    <w:rsid w:val="00775972"/>
    <w:rsid w:val="00775FFC"/>
    <w:rsid w:val="007806F8"/>
    <w:rsid w:val="00781242"/>
    <w:rsid w:val="0078736A"/>
    <w:rsid w:val="00787F36"/>
    <w:rsid w:val="00791461"/>
    <w:rsid w:val="0079485E"/>
    <w:rsid w:val="0079734D"/>
    <w:rsid w:val="007A2519"/>
    <w:rsid w:val="007A385A"/>
    <w:rsid w:val="007B2196"/>
    <w:rsid w:val="007B3559"/>
    <w:rsid w:val="007B45AF"/>
    <w:rsid w:val="007B5A1B"/>
    <w:rsid w:val="007C0B3C"/>
    <w:rsid w:val="007D6A7F"/>
    <w:rsid w:val="007F5FC6"/>
    <w:rsid w:val="0080461F"/>
    <w:rsid w:val="008130B6"/>
    <w:rsid w:val="00821FA9"/>
    <w:rsid w:val="008250F5"/>
    <w:rsid w:val="00825133"/>
    <w:rsid w:val="00825932"/>
    <w:rsid w:val="00830010"/>
    <w:rsid w:val="00833122"/>
    <w:rsid w:val="00837DB9"/>
    <w:rsid w:val="0085166A"/>
    <w:rsid w:val="008556F4"/>
    <w:rsid w:val="008564AB"/>
    <w:rsid w:val="008564C1"/>
    <w:rsid w:val="0085699F"/>
    <w:rsid w:val="00856E16"/>
    <w:rsid w:val="00864E57"/>
    <w:rsid w:val="00865D58"/>
    <w:rsid w:val="008716EF"/>
    <w:rsid w:val="008765D5"/>
    <w:rsid w:val="00877A12"/>
    <w:rsid w:val="00884407"/>
    <w:rsid w:val="00885896"/>
    <w:rsid w:val="00887574"/>
    <w:rsid w:val="008907A0"/>
    <w:rsid w:val="0089431B"/>
    <w:rsid w:val="008950BC"/>
    <w:rsid w:val="008A3316"/>
    <w:rsid w:val="008A3D1F"/>
    <w:rsid w:val="008A4F3F"/>
    <w:rsid w:val="008A631C"/>
    <w:rsid w:val="008B4EFA"/>
    <w:rsid w:val="008B6EBF"/>
    <w:rsid w:val="008C3AE2"/>
    <w:rsid w:val="008D003B"/>
    <w:rsid w:val="008D29FB"/>
    <w:rsid w:val="008D4CF0"/>
    <w:rsid w:val="008D5F3A"/>
    <w:rsid w:val="008E40D2"/>
    <w:rsid w:val="008F269A"/>
    <w:rsid w:val="008F3496"/>
    <w:rsid w:val="008F50E5"/>
    <w:rsid w:val="008F6172"/>
    <w:rsid w:val="008F796D"/>
    <w:rsid w:val="008F7D30"/>
    <w:rsid w:val="009052AB"/>
    <w:rsid w:val="00917921"/>
    <w:rsid w:val="00930473"/>
    <w:rsid w:val="00932867"/>
    <w:rsid w:val="00935822"/>
    <w:rsid w:val="009379E7"/>
    <w:rsid w:val="00940DCE"/>
    <w:rsid w:val="00941233"/>
    <w:rsid w:val="009429A9"/>
    <w:rsid w:val="00946D21"/>
    <w:rsid w:val="00947507"/>
    <w:rsid w:val="00951EEA"/>
    <w:rsid w:val="009534D2"/>
    <w:rsid w:val="00955AB4"/>
    <w:rsid w:val="009817C0"/>
    <w:rsid w:val="00983032"/>
    <w:rsid w:val="00983623"/>
    <w:rsid w:val="009837DE"/>
    <w:rsid w:val="00996DF5"/>
    <w:rsid w:val="009A40D0"/>
    <w:rsid w:val="009B524A"/>
    <w:rsid w:val="009B6A3F"/>
    <w:rsid w:val="009C2B07"/>
    <w:rsid w:val="009C7F6E"/>
    <w:rsid w:val="009D2167"/>
    <w:rsid w:val="009D44A2"/>
    <w:rsid w:val="009D7B53"/>
    <w:rsid w:val="009F4C5B"/>
    <w:rsid w:val="009F60C3"/>
    <w:rsid w:val="00A0096F"/>
    <w:rsid w:val="00A06254"/>
    <w:rsid w:val="00A0682A"/>
    <w:rsid w:val="00A07D1C"/>
    <w:rsid w:val="00A1773E"/>
    <w:rsid w:val="00A314B3"/>
    <w:rsid w:val="00A3178C"/>
    <w:rsid w:val="00A41699"/>
    <w:rsid w:val="00A43C35"/>
    <w:rsid w:val="00A44166"/>
    <w:rsid w:val="00A56CB7"/>
    <w:rsid w:val="00A6500A"/>
    <w:rsid w:val="00A705AD"/>
    <w:rsid w:val="00A74E17"/>
    <w:rsid w:val="00A76943"/>
    <w:rsid w:val="00A915BB"/>
    <w:rsid w:val="00A933A1"/>
    <w:rsid w:val="00A96448"/>
    <w:rsid w:val="00AA0746"/>
    <w:rsid w:val="00AA22F1"/>
    <w:rsid w:val="00AA64D3"/>
    <w:rsid w:val="00AB3E29"/>
    <w:rsid w:val="00AB4DD9"/>
    <w:rsid w:val="00AB70F3"/>
    <w:rsid w:val="00AC1FB1"/>
    <w:rsid w:val="00AC2D92"/>
    <w:rsid w:val="00AD0104"/>
    <w:rsid w:val="00AD71CF"/>
    <w:rsid w:val="00AE3D77"/>
    <w:rsid w:val="00AF0B85"/>
    <w:rsid w:val="00AF502F"/>
    <w:rsid w:val="00B016FC"/>
    <w:rsid w:val="00B05E26"/>
    <w:rsid w:val="00B154F6"/>
    <w:rsid w:val="00B161A3"/>
    <w:rsid w:val="00B46D30"/>
    <w:rsid w:val="00B46F0D"/>
    <w:rsid w:val="00B46FD9"/>
    <w:rsid w:val="00B47691"/>
    <w:rsid w:val="00B54335"/>
    <w:rsid w:val="00B6310E"/>
    <w:rsid w:val="00B67515"/>
    <w:rsid w:val="00B710CB"/>
    <w:rsid w:val="00B75DE6"/>
    <w:rsid w:val="00B76C14"/>
    <w:rsid w:val="00B76DBE"/>
    <w:rsid w:val="00B76DE1"/>
    <w:rsid w:val="00B8371D"/>
    <w:rsid w:val="00B91578"/>
    <w:rsid w:val="00B93489"/>
    <w:rsid w:val="00BB0B26"/>
    <w:rsid w:val="00BB15CE"/>
    <w:rsid w:val="00BB17A5"/>
    <w:rsid w:val="00BB4D2C"/>
    <w:rsid w:val="00BB5797"/>
    <w:rsid w:val="00BB60C7"/>
    <w:rsid w:val="00BB70A6"/>
    <w:rsid w:val="00BC40FE"/>
    <w:rsid w:val="00BD0980"/>
    <w:rsid w:val="00BF13EA"/>
    <w:rsid w:val="00C00321"/>
    <w:rsid w:val="00C0390D"/>
    <w:rsid w:val="00C12359"/>
    <w:rsid w:val="00C15FD0"/>
    <w:rsid w:val="00C16C37"/>
    <w:rsid w:val="00C226E5"/>
    <w:rsid w:val="00C257E7"/>
    <w:rsid w:val="00C26DB3"/>
    <w:rsid w:val="00C301E9"/>
    <w:rsid w:val="00C3618F"/>
    <w:rsid w:val="00C413EE"/>
    <w:rsid w:val="00C46DD1"/>
    <w:rsid w:val="00C47FAA"/>
    <w:rsid w:val="00C516CF"/>
    <w:rsid w:val="00C5313A"/>
    <w:rsid w:val="00C53370"/>
    <w:rsid w:val="00C57D88"/>
    <w:rsid w:val="00C61635"/>
    <w:rsid w:val="00C675F4"/>
    <w:rsid w:val="00C70A8C"/>
    <w:rsid w:val="00C720A1"/>
    <w:rsid w:val="00C7397C"/>
    <w:rsid w:val="00C8094F"/>
    <w:rsid w:val="00C81CD4"/>
    <w:rsid w:val="00C90DE8"/>
    <w:rsid w:val="00C92615"/>
    <w:rsid w:val="00C96159"/>
    <w:rsid w:val="00CA236C"/>
    <w:rsid w:val="00CA3001"/>
    <w:rsid w:val="00CA36A3"/>
    <w:rsid w:val="00CB05E5"/>
    <w:rsid w:val="00CB23DF"/>
    <w:rsid w:val="00CB5D0E"/>
    <w:rsid w:val="00CB74DA"/>
    <w:rsid w:val="00CC05DF"/>
    <w:rsid w:val="00CC470F"/>
    <w:rsid w:val="00CD448D"/>
    <w:rsid w:val="00CD6139"/>
    <w:rsid w:val="00CD67D3"/>
    <w:rsid w:val="00CE33A1"/>
    <w:rsid w:val="00CE43E8"/>
    <w:rsid w:val="00CE6F4F"/>
    <w:rsid w:val="00D01545"/>
    <w:rsid w:val="00D04834"/>
    <w:rsid w:val="00D04BAC"/>
    <w:rsid w:val="00D141F2"/>
    <w:rsid w:val="00D14E7C"/>
    <w:rsid w:val="00D26FF5"/>
    <w:rsid w:val="00D33AEC"/>
    <w:rsid w:val="00D33F87"/>
    <w:rsid w:val="00D57406"/>
    <w:rsid w:val="00D601C5"/>
    <w:rsid w:val="00D64014"/>
    <w:rsid w:val="00D66479"/>
    <w:rsid w:val="00D70676"/>
    <w:rsid w:val="00D7134E"/>
    <w:rsid w:val="00D80015"/>
    <w:rsid w:val="00D8219F"/>
    <w:rsid w:val="00D8289C"/>
    <w:rsid w:val="00D8531F"/>
    <w:rsid w:val="00D95CC1"/>
    <w:rsid w:val="00D96D93"/>
    <w:rsid w:val="00DB2208"/>
    <w:rsid w:val="00DC4837"/>
    <w:rsid w:val="00DD61CD"/>
    <w:rsid w:val="00DD6E37"/>
    <w:rsid w:val="00DD6ED4"/>
    <w:rsid w:val="00DE04D5"/>
    <w:rsid w:val="00DE08F1"/>
    <w:rsid w:val="00DE5467"/>
    <w:rsid w:val="00E01AB2"/>
    <w:rsid w:val="00E02DAC"/>
    <w:rsid w:val="00E10818"/>
    <w:rsid w:val="00E11847"/>
    <w:rsid w:val="00E136B9"/>
    <w:rsid w:val="00E1727D"/>
    <w:rsid w:val="00E22F61"/>
    <w:rsid w:val="00E2318D"/>
    <w:rsid w:val="00E23843"/>
    <w:rsid w:val="00E30511"/>
    <w:rsid w:val="00E30B1A"/>
    <w:rsid w:val="00E312F3"/>
    <w:rsid w:val="00E31B6A"/>
    <w:rsid w:val="00E324EB"/>
    <w:rsid w:val="00E333F0"/>
    <w:rsid w:val="00E50FB6"/>
    <w:rsid w:val="00E51362"/>
    <w:rsid w:val="00E535F1"/>
    <w:rsid w:val="00E56AD7"/>
    <w:rsid w:val="00E60379"/>
    <w:rsid w:val="00E65F33"/>
    <w:rsid w:val="00E71C45"/>
    <w:rsid w:val="00E922C6"/>
    <w:rsid w:val="00EA735C"/>
    <w:rsid w:val="00EA7492"/>
    <w:rsid w:val="00EB3A6F"/>
    <w:rsid w:val="00EB463D"/>
    <w:rsid w:val="00EB4E37"/>
    <w:rsid w:val="00EC0D6C"/>
    <w:rsid w:val="00EC7B8A"/>
    <w:rsid w:val="00ED6779"/>
    <w:rsid w:val="00ED6E0F"/>
    <w:rsid w:val="00EE002F"/>
    <w:rsid w:val="00EF07FA"/>
    <w:rsid w:val="00F05BAB"/>
    <w:rsid w:val="00F1245D"/>
    <w:rsid w:val="00F32189"/>
    <w:rsid w:val="00F33E9A"/>
    <w:rsid w:val="00F4069E"/>
    <w:rsid w:val="00F52565"/>
    <w:rsid w:val="00F56011"/>
    <w:rsid w:val="00F60B45"/>
    <w:rsid w:val="00F6317E"/>
    <w:rsid w:val="00F65E9A"/>
    <w:rsid w:val="00F71A11"/>
    <w:rsid w:val="00F73426"/>
    <w:rsid w:val="00F7420C"/>
    <w:rsid w:val="00F802AC"/>
    <w:rsid w:val="00F80CAB"/>
    <w:rsid w:val="00F86867"/>
    <w:rsid w:val="00FA0B94"/>
    <w:rsid w:val="00FA3054"/>
    <w:rsid w:val="00FA36BA"/>
    <w:rsid w:val="00FA3A38"/>
    <w:rsid w:val="00FA47FE"/>
    <w:rsid w:val="00FB1902"/>
    <w:rsid w:val="00FC7887"/>
    <w:rsid w:val="00FD1B4D"/>
    <w:rsid w:val="00FD4830"/>
    <w:rsid w:val="00FD550E"/>
    <w:rsid w:val="00FF0907"/>
    <w:rsid w:val="00FF0ACE"/>
    <w:rsid w:val="00FF1A44"/>
    <w:rsid w:val="00FF1ED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lene.rochat@topten.ch" TargetMode="External"/><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pten.eu/professional.html"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topten.eu/private/selection-criteria/dishwasher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4507</Characters>
  <Application>Microsoft Office Word</Application>
  <DocSecurity>0</DocSecurity>
  <Lines>204</Lines>
  <Paragraphs>115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
  <LinksUpToDate>false</LinksUpToDate>
  <CharactersWithSpaces>5207</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Dishwashers</dc:title>
  <dc:subject/>
  <dc:creator>Helene Rochat</dc:creator>
  <cp:keywords/>
  <dc:description/>
  <cp:lastModifiedBy>Hélène Rochat</cp:lastModifiedBy>
  <cp:revision>4</cp:revision>
  <cp:lastPrinted>2016-11-17T18:09:00Z</cp:lastPrinted>
  <dcterms:created xsi:type="dcterms:W3CDTF">2019-10-28T15:14:00Z</dcterms:created>
  <dcterms:modified xsi:type="dcterms:W3CDTF">2019-10-28T15:16:00Z</dcterms:modified>
  <cp:category/>
</cp:coreProperties>
</file>