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5CB6631E" w:rsidR="00303312" w:rsidRPr="00B67515" w:rsidRDefault="00303312" w:rsidP="00303312">
      <w:pPr>
        <w:pStyle w:val="Header"/>
        <w:rPr>
          <w:rFonts w:ascii="Arial" w:hAnsi="Arial" w:cs="Arial"/>
          <w:sz w:val="12"/>
          <w:szCs w:val="12"/>
        </w:rPr>
      </w:pP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B67515" w14:paraId="65EF4D94" w14:textId="77777777" w:rsidTr="00544A57">
        <w:trPr>
          <w:trHeight w:val="1359"/>
        </w:trPr>
        <w:tc>
          <w:tcPr>
            <w:tcW w:w="7230" w:type="dxa"/>
            <w:vAlign w:val="center"/>
          </w:tcPr>
          <w:p w14:paraId="72B61158" w14:textId="0631CEEE" w:rsidR="004D2DFC" w:rsidRPr="00B67515" w:rsidRDefault="008C1307" w:rsidP="001D1304">
            <w:pPr>
              <w:pStyle w:val="Header"/>
              <w:rPr>
                <w:rFonts w:ascii="Arial" w:hAnsi="Arial"/>
                <w:sz w:val="52"/>
              </w:rPr>
            </w:pPr>
            <w:r>
              <w:rPr>
                <w:rFonts w:ascii="Arial" w:hAnsi="Arial"/>
                <w:sz w:val="52"/>
              </w:rPr>
              <w:t xml:space="preserve">Household </w:t>
            </w:r>
            <w:r w:rsidR="00A8477A">
              <w:rPr>
                <w:rFonts w:ascii="Arial" w:hAnsi="Arial"/>
                <w:sz w:val="52"/>
              </w:rPr>
              <w:t>Washing machines</w:t>
            </w:r>
          </w:p>
          <w:p w14:paraId="4DC44DBC" w14:textId="77777777" w:rsidR="004D2DFC" w:rsidRPr="00B67515" w:rsidRDefault="004D2DFC" w:rsidP="001D1304">
            <w:pPr>
              <w:pStyle w:val="Header"/>
              <w:rPr>
                <w:rFonts w:ascii="Arial" w:hAnsi="Arial"/>
                <w:sz w:val="16"/>
                <w:szCs w:val="16"/>
              </w:rPr>
            </w:pPr>
          </w:p>
          <w:p w14:paraId="7EE70D5E" w14:textId="56827A68" w:rsidR="004D2DFC" w:rsidRPr="00B41CD3" w:rsidRDefault="00D937B6" w:rsidP="001D1304">
            <w:pPr>
              <w:pStyle w:val="Header"/>
              <w:rPr>
                <w:rFonts w:ascii="Arial" w:hAnsi="Arial"/>
                <w:sz w:val="20"/>
              </w:rPr>
            </w:pPr>
            <w:hyperlink r:id="rId8" w:history="1">
              <w:r w:rsidR="008C1307">
                <w:rPr>
                  <w:rStyle w:val="Hyperlink"/>
                  <w:rFonts w:ascii="Arial" w:hAnsi="Arial"/>
                  <w:sz w:val="20"/>
                  <w:lang w:val="fr-CH"/>
                </w:rPr>
                <w:t>Steffen Hepp</w:t>
              </w:r>
            </w:hyperlink>
            <w:r w:rsidR="001D1304" w:rsidRPr="00B41CD3">
              <w:rPr>
                <w:rFonts w:ascii="Arial" w:hAnsi="Arial"/>
                <w:sz w:val="20"/>
                <w:lang w:val="fr-CH"/>
              </w:rPr>
              <w:t xml:space="preserve">, </w:t>
            </w:r>
            <w:r w:rsidR="00E86CBB">
              <w:rPr>
                <w:rFonts w:ascii="Arial" w:hAnsi="Arial"/>
                <w:sz w:val="20"/>
                <w:lang w:val="fr-CH"/>
              </w:rPr>
              <w:t>June</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5C056850" w:rsidR="004D2DFC" w:rsidRPr="00B67515" w:rsidRDefault="00724652" w:rsidP="00C068A6">
            <w:pPr>
              <w:pStyle w:val="Header"/>
              <w:ind w:hanging="89"/>
              <w:jc w:val="center"/>
            </w:pPr>
            <w:r>
              <w:rPr>
                <w:noProof/>
                <w:lang w:val="pt-PT" w:eastAsia="pt-PT"/>
              </w:rPr>
              <w:drawing>
                <wp:anchor distT="0" distB="0" distL="114300" distR="114300" simplePos="0" relativeHeight="251671040" behindDoc="0" locked="0" layoutInCell="1" allowOverlap="1" wp14:anchorId="317B9A9D" wp14:editId="3354965C">
                  <wp:simplePos x="0" y="0"/>
                  <wp:positionH relativeFrom="column">
                    <wp:posOffset>241300</wp:posOffset>
                  </wp:positionH>
                  <wp:positionV relativeFrom="paragraph">
                    <wp:posOffset>13970</wp:posOffset>
                  </wp:positionV>
                  <wp:extent cx="852170" cy="852170"/>
                  <wp:effectExtent l="0" t="0" r="5080" b="508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9"/>
                          <a:stretch>
                            <a:fillRect/>
                          </a:stretch>
                        </pic:blipFill>
                        <pic:spPr bwMode="auto">
                          <a:xfrm>
                            <a:off x="0" y="0"/>
                            <a:ext cx="852170" cy="852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71D">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B67515" w:rsidRDefault="00303312" w:rsidP="00303312">
      <w:pPr>
        <w:pBdr>
          <w:bottom w:val="single" w:sz="4" w:space="1" w:color="auto"/>
        </w:pBdr>
        <w:spacing w:after="0"/>
        <w:jc w:val="both"/>
        <w:rPr>
          <w:rFonts w:ascii="Arial" w:hAnsi="Arial" w:cs="Arial"/>
          <w:sz w:val="12"/>
          <w:szCs w:val="12"/>
        </w:rPr>
      </w:pPr>
    </w:p>
    <w:p w14:paraId="54D192D8" w14:textId="77777777" w:rsidR="00AF0B85" w:rsidRPr="00B67515" w:rsidRDefault="00AF0B85" w:rsidP="00303312">
      <w:pPr>
        <w:spacing w:after="0" w:line="300" w:lineRule="exact"/>
        <w:rPr>
          <w:rFonts w:ascii="Arial" w:hAnsi="Arial" w:cs="Arial"/>
          <w:sz w:val="20"/>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30C72AB2"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E73391">
        <w:rPr>
          <w:rFonts w:ascii="Arial" w:hAnsi="Arial"/>
          <w:sz w:val="20"/>
        </w:rPr>
        <w:t xml:space="preserve">household </w:t>
      </w:r>
      <w:r w:rsidR="00466AD7">
        <w:rPr>
          <w:rFonts w:ascii="Arial" w:hAnsi="Arial"/>
          <w:sz w:val="20"/>
        </w:rPr>
        <w:t>washing machines</w:t>
      </w:r>
      <w:r>
        <w:rPr>
          <w:rFonts w:ascii="Arial" w:hAnsi="Arial"/>
          <w:sz w:val="20"/>
        </w:rPr>
        <w:t xml:space="preserve">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Pr>
            <w:rStyle w:val="Hyperlink"/>
            <w:rFonts w:ascii="Arial" w:hAnsi="Arial"/>
            <w:bCs/>
            <w:sz w:val="20"/>
          </w:rPr>
          <w:t xml:space="preserve">Topten selection criteria for </w:t>
        </w:r>
        <w:r w:rsidR="00E73391">
          <w:rPr>
            <w:rStyle w:val="Hyperlink"/>
            <w:rFonts w:ascii="Arial" w:hAnsi="Arial"/>
            <w:bCs/>
            <w:sz w:val="20"/>
          </w:rPr>
          <w:t xml:space="preserve">Household </w:t>
        </w:r>
        <w:r w:rsidR="00A8477A">
          <w:rPr>
            <w:rStyle w:val="Hyperlink"/>
            <w:rFonts w:ascii="Arial" w:hAnsi="Arial"/>
            <w:bCs/>
            <w:sz w:val="20"/>
          </w:rPr>
          <w:t xml:space="preserve">Washing </w:t>
        </w:r>
        <w:r w:rsidR="006C6B3F">
          <w:rPr>
            <w:rStyle w:val="Hyperlink"/>
            <w:rFonts w:ascii="Arial" w:hAnsi="Arial"/>
            <w:bCs/>
            <w:sz w:val="20"/>
          </w:rPr>
          <w:t>Machines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32539E08" w14:textId="1217C2E6" w:rsidR="00806A92" w:rsidRDefault="00070C1A" w:rsidP="00173AA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37A37">
        <w:rPr>
          <w:rFonts w:ascii="Arial" w:hAnsi="Arial" w:cs="Arial"/>
          <w:sz w:val="20"/>
        </w:rPr>
        <w:t xml:space="preserve">category </w:t>
      </w:r>
      <w:r w:rsidR="003C55C4">
        <w:rPr>
          <w:rFonts w:ascii="Arial" w:hAnsi="Arial" w:cs="Arial"/>
          <w:sz w:val="20"/>
        </w:rPr>
        <w:t xml:space="preserve">household </w:t>
      </w:r>
      <w:r w:rsidR="000C79F8">
        <w:rPr>
          <w:rFonts w:ascii="Arial" w:hAnsi="Arial" w:cs="Arial"/>
          <w:sz w:val="20"/>
        </w:rPr>
        <w:t>washing mac</w:t>
      </w:r>
      <w:r w:rsidR="00783E71">
        <w:rPr>
          <w:rFonts w:ascii="Arial" w:hAnsi="Arial" w:cs="Arial"/>
          <w:sz w:val="20"/>
        </w:rPr>
        <w:t>hi</w:t>
      </w:r>
      <w:r w:rsidR="000C79F8">
        <w:rPr>
          <w:rFonts w:ascii="Arial" w:hAnsi="Arial" w:cs="Arial"/>
          <w:sz w:val="20"/>
        </w:rPr>
        <w:t>nes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t>,</w:t>
      </w:r>
      <w:r>
        <w:rPr>
          <w:rFonts w:ascii="Arial" w:hAnsi="Arial" w:cs="Arial"/>
          <w:sz w:val="20"/>
        </w:rPr>
        <w:t xml:space="preserve"> </w:t>
      </w:r>
      <w:r w:rsidR="00237A37">
        <w:rPr>
          <w:rFonts w:ascii="Arial" w:hAnsi="Arial" w:cs="Arial"/>
          <w:sz w:val="20"/>
        </w:rPr>
        <w:t xml:space="preserve">includes </w:t>
      </w:r>
      <w:r w:rsidR="008B68F2">
        <w:rPr>
          <w:rFonts w:ascii="Arial" w:hAnsi="Arial" w:cs="Arial"/>
          <w:sz w:val="20"/>
        </w:rPr>
        <w:t xml:space="preserve">front-loading and </w:t>
      </w:r>
      <w:r w:rsidR="006C6B3F">
        <w:rPr>
          <w:rFonts w:ascii="Arial" w:hAnsi="Arial" w:cs="Arial"/>
          <w:sz w:val="20"/>
        </w:rPr>
        <w:t>top loading</w:t>
      </w:r>
      <w:r w:rsidR="008B68F2">
        <w:rPr>
          <w:rFonts w:ascii="Arial" w:hAnsi="Arial" w:cs="Arial"/>
          <w:sz w:val="20"/>
        </w:rPr>
        <w:t xml:space="preserve"> machines.</w:t>
      </w:r>
    </w:p>
    <w:p w14:paraId="11839A5B" w14:textId="539911FB" w:rsidR="00173AA2" w:rsidRDefault="000E3772" w:rsidP="00173AA2">
      <w:pPr>
        <w:spacing w:after="0" w:line="300" w:lineRule="exact"/>
        <w:jc w:val="both"/>
        <w:rPr>
          <w:rFonts w:ascii="Arial" w:hAnsi="Arial" w:cs="Arial"/>
          <w:sz w:val="20"/>
        </w:rPr>
      </w:pPr>
      <w:r>
        <w:rPr>
          <w:rFonts w:ascii="Arial" w:hAnsi="Arial" w:cs="Arial"/>
          <w:sz w:val="20"/>
        </w:rPr>
        <w:t>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14:paraId="4B4C8825" w14:textId="36C8A515" w:rsidR="00E86CBB"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14:paraId="428160DA" w14:textId="77777777" w:rsidTr="003F27AF">
        <w:trPr>
          <w:trHeight w:val="351"/>
          <w:jc w:val="center"/>
        </w:trPr>
        <w:tc>
          <w:tcPr>
            <w:tcW w:w="1560" w:type="dxa"/>
            <w:vMerge w:val="restart"/>
            <w:vAlign w:val="bottom"/>
            <w:hideMark/>
          </w:tcPr>
          <w:p w14:paraId="44D430AE" w14:textId="77777777" w:rsidR="00E86CBB" w:rsidRDefault="00E86CBB" w:rsidP="003F27AF">
            <w:pPr>
              <w:spacing w:line="300" w:lineRule="exact"/>
              <w:rPr>
                <w:rFonts w:ascii="Arial" w:hAnsi="Arial" w:cs="Arial"/>
                <w:sz w:val="20"/>
              </w:rPr>
            </w:pPr>
            <w:r>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Pr>
                <w:rFonts w:ascii="Arial" w:hAnsi="Arial" w:cs="Arial"/>
                <w:sz w:val="20"/>
              </w:rPr>
              <w:t xml:space="preserve">  Assumptions</w:t>
            </w:r>
          </w:p>
        </w:tc>
        <w:tc>
          <w:tcPr>
            <w:tcW w:w="7030" w:type="dxa"/>
            <w:vAlign w:val="center"/>
            <w:hideMark/>
          </w:tcPr>
          <w:p w14:paraId="1B5C6452" w14:textId="1367AB4E"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Lifetime expectation: 1</w:t>
            </w:r>
            <w:r w:rsidR="00FD7D7C">
              <w:rPr>
                <w:rFonts w:ascii="Arial" w:hAnsi="Arial" w:cs="Arial"/>
                <w:sz w:val="20"/>
              </w:rPr>
              <w:t>5</w:t>
            </w:r>
            <w:r>
              <w:rPr>
                <w:rFonts w:ascii="Arial" w:hAnsi="Arial" w:cs="Arial"/>
                <w:sz w:val="20"/>
              </w:rPr>
              <w:t xml:space="preserve"> years</w:t>
            </w:r>
          </w:p>
        </w:tc>
      </w:tr>
      <w:tr w:rsidR="00E86CBB" w:rsidRPr="00A0704B" w14:paraId="033E1C2F" w14:textId="77777777" w:rsidTr="003F27AF">
        <w:trPr>
          <w:trHeight w:val="351"/>
          <w:jc w:val="center"/>
        </w:trPr>
        <w:tc>
          <w:tcPr>
            <w:tcW w:w="0" w:type="auto"/>
            <w:vMerge/>
            <w:vAlign w:val="center"/>
            <w:hideMark/>
          </w:tcPr>
          <w:p w14:paraId="786D5479" w14:textId="77777777" w:rsidR="00E86CBB" w:rsidRDefault="00E86CBB" w:rsidP="003F27AF">
            <w:pPr>
              <w:spacing w:after="0"/>
              <w:rPr>
                <w:rFonts w:ascii="Arial" w:hAnsi="Arial" w:cs="Arial"/>
                <w:sz w:val="20"/>
              </w:rPr>
            </w:pPr>
          </w:p>
        </w:tc>
        <w:tc>
          <w:tcPr>
            <w:tcW w:w="7030" w:type="dxa"/>
            <w:vAlign w:val="center"/>
            <w:hideMark/>
          </w:tcPr>
          <w:p w14:paraId="154E9886" w14:textId="07B5D509" w:rsidR="00E86CBB" w:rsidRDefault="0044279E"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Cycles per year: 220</w:t>
            </w:r>
            <w:r w:rsidR="000A56AC">
              <w:rPr>
                <w:rFonts w:ascii="Arial" w:hAnsi="Arial" w:cs="Arial"/>
                <w:sz w:val="20"/>
              </w:rPr>
              <w:t xml:space="preserve"> (</w:t>
            </w:r>
            <w:r w:rsidR="00072DFD">
              <w:rPr>
                <w:rFonts w:ascii="Arial" w:hAnsi="Arial" w:cs="Arial"/>
                <w:sz w:val="20"/>
              </w:rPr>
              <w:t>single</w:t>
            </w:r>
            <w:r w:rsidR="00BE6C1E">
              <w:rPr>
                <w:rFonts w:ascii="Arial" w:hAnsi="Arial" w:cs="Arial"/>
                <w:sz w:val="20"/>
              </w:rPr>
              <w:t>-</w:t>
            </w:r>
            <w:r w:rsidR="000A56AC">
              <w:rPr>
                <w:rFonts w:ascii="Arial" w:hAnsi="Arial" w:cs="Arial"/>
                <w:sz w:val="20"/>
              </w:rPr>
              <w:t>family house)</w:t>
            </w:r>
          </w:p>
        </w:tc>
      </w:tr>
      <w:tr w:rsidR="00E86CBB" w14:paraId="28F7BF37" w14:textId="77777777" w:rsidTr="003F27AF">
        <w:trPr>
          <w:trHeight w:val="351"/>
          <w:jc w:val="center"/>
        </w:trPr>
        <w:tc>
          <w:tcPr>
            <w:tcW w:w="0" w:type="auto"/>
            <w:vMerge/>
            <w:vAlign w:val="center"/>
            <w:hideMark/>
          </w:tcPr>
          <w:p w14:paraId="00CBDFD7" w14:textId="77777777" w:rsidR="00E86CBB" w:rsidRDefault="00E86CBB" w:rsidP="003F27AF">
            <w:pPr>
              <w:spacing w:after="0"/>
              <w:rPr>
                <w:rFonts w:ascii="Arial" w:hAnsi="Arial" w:cs="Arial"/>
                <w:sz w:val="20"/>
              </w:rPr>
            </w:pPr>
          </w:p>
        </w:tc>
        <w:tc>
          <w:tcPr>
            <w:tcW w:w="7030" w:type="dxa"/>
            <w:vAlign w:val="center"/>
            <w:hideMark/>
          </w:tcPr>
          <w:p w14:paraId="2856E764" w14:textId="1DECEA2F"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Electricity cost: 0.20 €/kWh</w:t>
            </w:r>
            <w:r w:rsidR="00106C6E">
              <w:rPr>
                <w:rFonts w:ascii="Arial" w:hAnsi="Arial" w:cs="Arial"/>
                <w:sz w:val="20"/>
              </w:rPr>
              <w:t>, Water cost</w:t>
            </w:r>
            <w:r w:rsidR="00106C6E" w:rsidRPr="00B67515">
              <w:rPr>
                <w:rFonts w:ascii="Arial" w:hAnsi="Arial" w:cs="Arial"/>
                <w:sz w:val="20"/>
              </w:rPr>
              <w:t xml:space="preserve">: </w:t>
            </w:r>
            <w:r w:rsidR="00106C6E">
              <w:rPr>
                <w:rFonts w:ascii="Arial" w:hAnsi="Arial" w:cs="Arial"/>
                <w:sz w:val="20"/>
              </w:rPr>
              <w:t>2,5 €/m</w:t>
            </w:r>
            <w:r w:rsidR="00106C6E" w:rsidRPr="00E71C45">
              <w:rPr>
                <w:rFonts w:ascii="Arial" w:hAnsi="Arial" w:cs="Arial"/>
                <w:sz w:val="20"/>
                <w:vertAlign w:val="superscript"/>
              </w:rPr>
              <w:t>3</w:t>
            </w:r>
          </w:p>
        </w:tc>
      </w:tr>
    </w:tbl>
    <w:p w14:paraId="436F6A26" w14:textId="35BA1448" w:rsidR="00E86CBB" w:rsidRDefault="00E86CBB" w:rsidP="00E86CBB">
      <w:pPr>
        <w:spacing w:after="0" w:line="300" w:lineRule="exact"/>
        <w:jc w:val="both"/>
        <w:rPr>
          <w:rFonts w:ascii="Arial" w:hAnsi="Arial" w:cs="Arial"/>
          <w:sz w:val="20"/>
        </w:rPr>
      </w:pPr>
    </w:p>
    <w:tbl>
      <w:tblPr>
        <w:tblW w:w="5000" w:type="pct"/>
        <w:tblLook w:val="04A0" w:firstRow="1" w:lastRow="0" w:firstColumn="1" w:lastColumn="0" w:noHBand="0" w:noVBand="1"/>
      </w:tblPr>
      <w:tblGrid>
        <w:gridCol w:w="3583"/>
        <w:gridCol w:w="2717"/>
        <w:gridCol w:w="2716"/>
      </w:tblGrid>
      <w:tr w:rsidR="00465EDE" w:rsidRPr="00465EDE" w14:paraId="6AC62779" w14:textId="77777777" w:rsidTr="00465EDE">
        <w:trPr>
          <w:trHeight w:val="300"/>
        </w:trPr>
        <w:tc>
          <w:tcPr>
            <w:tcW w:w="1987" w:type="pct"/>
            <w:tcBorders>
              <w:top w:val="nil"/>
              <w:left w:val="nil"/>
              <w:bottom w:val="single" w:sz="8" w:space="0" w:color="auto"/>
              <w:right w:val="single" w:sz="8" w:space="0" w:color="auto"/>
            </w:tcBorders>
            <w:shd w:val="clear" w:color="auto" w:fill="auto"/>
            <w:vAlign w:val="center"/>
            <w:hideMark/>
          </w:tcPr>
          <w:p w14:paraId="02CED831" w14:textId="77777777" w:rsidR="00465EDE" w:rsidRPr="00465EDE" w:rsidRDefault="00465EDE" w:rsidP="00465EDE">
            <w:pPr>
              <w:spacing w:after="0"/>
              <w:jc w:val="center"/>
              <w:rPr>
                <w:rFonts w:ascii="Arial" w:hAnsi="Arial" w:cs="Arial"/>
                <w:color w:val="000000"/>
                <w:sz w:val="20"/>
                <w:lang w:eastAsia="en-GB"/>
              </w:rPr>
            </w:pPr>
            <w:r w:rsidRPr="00465EDE">
              <w:rPr>
                <w:rFonts w:ascii="Arial" w:hAnsi="Arial" w:cs="Arial"/>
                <w:color w:val="000000"/>
                <w:sz w:val="20"/>
                <w:lang w:eastAsia="en-GB"/>
              </w:rPr>
              <w:t> </w:t>
            </w:r>
          </w:p>
        </w:tc>
        <w:tc>
          <w:tcPr>
            <w:tcW w:w="1507" w:type="pct"/>
            <w:tcBorders>
              <w:top w:val="single" w:sz="8" w:space="0" w:color="auto"/>
              <w:left w:val="nil"/>
              <w:bottom w:val="single" w:sz="8" w:space="0" w:color="auto"/>
              <w:right w:val="single" w:sz="8" w:space="0" w:color="auto"/>
            </w:tcBorders>
            <w:shd w:val="clear" w:color="000000" w:fill="C2D69B"/>
            <w:vAlign w:val="center"/>
            <w:hideMark/>
          </w:tcPr>
          <w:p w14:paraId="54487869" w14:textId="77777777" w:rsidR="00465EDE" w:rsidRPr="00465EDE" w:rsidRDefault="00465EDE" w:rsidP="00465EDE">
            <w:pPr>
              <w:spacing w:after="0"/>
              <w:jc w:val="center"/>
              <w:rPr>
                <w:rFonts w:ascii="Arial" w:hAnsi="Arial" w:cs="Arial"/>
                <w:b/>
                <w:bCs/>
                <w:color w:val="000000"/>
                <w:sz w:val="20"/>
                <w:lang w:eastAsia="en-GB"/>
              </w:rPr>
            </w:pPr>
            <w:r w:rsidRPr="00465EDE">
              <w:rPr>
                <w:rFonts w:ascii="Arial" w:hAnsi="Arial" w:cs="Arial"/>
                <w:b/>
                <w:bCs/>
                <w:color w:val="000000"/>
                <w:sz w:val="20"/>
                <w:lang w:eastAsia="en-GB"/>
              </w:rPr>
              <w:t>Topten model</w:t>
            </w:r>
          </w:p>
        </w:tc>
        <w:tc>
          <w:tcPr>
            <w:tcW w:w="1507" w:type="pct"/>
            <w:tcBorders>
              <w:top w:val="single" w:sz="8" w:space="0" w:color="auto"/>
              <w:left w:val="nil"/>
              <w:bottom w:val="single" w:sz="8" w:space="0" w:color="auto"/>
              <w:right w:val="single" w:sz="8" w:space="0" w:color="auto"/>
            </w:tcBorders>
            <w:shd w:val="clear" w:color="000000" w:fill="D99594"/>
            <w:vAlign w:val="center"/>
            <w:hideMark/>
          </w:tcPr>
          <w:p w14:paraId="7B403F37" w14:textId="77777777" w:rsidR="00465EDE" w:rsidRPr="00465EDE" w:rsidRDefault="00465EDE" w:rsidP="00465EDE">
            <w:pPr>
              <w:spacing w:after="0"/>
              <w:jc w:val="center"/>
              <w:rPr>
                <w:rFonts w:ascii="Arial" w:hAnsi="Arial" w:cs="Arial"/>
                <w:b/>
                <w:bCs/>
                <w:color w:val="000000"/>
                <w:sz w:val="20"/>
                <w:lang w:eastAsia="en-GB"/>
              </w:rPr>
            </w:pPr>
            <w:r w:rsidRPr="00465EDE">
              <w:rPr>
                <w:rFonts w:ascii="Arial" w:hAnsi="Arial" w:cs="Arial"/>
                <w:b/>
                <w:bCs/>
                <w:color w:val="000000"/>
                <w:sz w:val="20"/>
                <w:lang w:eastAsia="en-GB"/>
              </w:rPr>
              <w:t>Inefficient model</w:t>
            </w:r>
          </w:p>
        </w:tc>
      </w:tr>
      <w:tr w:rsidR="00465EDE" w:rsidRPr="00465EDE" w14:paraId="4728B428" w14:textId="77777777" w:rsidTr="00465EDE">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4EE54EF5" w14:textId="77777777" w:rsidR="00465EDE" w:rsidRPr="00465EDE" w:rsidRDefault="00465EDE" w:rsidP="00465EDE">
            <w:pPr>
              <w:spacing w:after="0"/>
              <w:ind w:firstLineChars="100" w:firstLine="200"/>
              <w:rPr>
                <w:rFonts w:ascii="Arial" w:hAnsi="Arial" w:cs="Arial"/>
                <w:color w:val="000000"/>
                <w:sz w:val="20"/>
                <w:lang w:eastAsia="en-GB"/>
              </w:rPr>
            </w:pPr>
            <w:r w:rsidRPr="00465EDE">
              <w:rPr>
                <w:rFonts w:ascii="Arial" w:hAnsi="Arial" w:cs="Arial"/>
                <w:color w:val="000000"/>
                <w:sz w:val="20"/>
                <w:lang w:eastAsia="en-GB"/>
              </w:rPr>
              <w:t>Capacity</w:t>
            </w:r>
          </w:p>
        </w:tc>
        <w:tc>
          <w:tcPr>
            <w:tcW w:w="1507" w:type="pct"/>
            <w:tcBorders>
              <w:top w:val="nil"/>
              <w:left w:val="nil"/>
              <w:bottom w:val="single" w:sz="8" w:space="0" w:color="auto"/>
              <w:right w:val="single" w:sz="8" w:space="0" w:color="auto"/>
            </w:tcBorders>
            <w:shd w:val="clear" w:color="auto" w:fill="auto"/>
            <w:vAlign w:val="center"/>
            <w:hideMark/>
          </w:tcPr>
          <w:p w14:paraId="4E12EC89" w14:textId="77777777" w:rsidR="00465EDE" w:rsidRPr="00465EDE" w:rsidRDefault="00465EDE" w:rsidP="00465EDE">
            <w:pPr>
              <w:spacing w:after="0"/>
              <w:jc w:val="center"/>
              <w:rPr>
                <w:rFonts w:ascii="Arial" w:hAnsi="Arial" w:cs="Arial"/>
                <w:color w:val="000000"/>
                <w:sz w:val="20"/>
                <w:lang w:eastAsia="en-GB"/>
              </w:rPr>
            </w:pPr>
            <w:r w:rsidRPr="00465EDE">
              <w:rPr>
                <w:rFonts w:ascii="Arial" w:hAnsi="Arial" w:cs="Arial"/>
                <w:color w:val="000000"/>
                <w:sz w:val="20"/>
                <w:lang w:eastAsia="en-GB"/>
              </w:rPr>
              <w:t>8 kg</w:t>
            </w:r>
          </w:p>
        </w:tc>
        <w:tc>
          <w:tcPr>
            <w:tcW w:w="1507" w:type="pct"/>
            <w:tcBorders>
              <w:top w:val="nil"/>
              <w:left w:val="nil"/>
              <w:bottom w:val="single" w:sz="8" w:space="0" w:color="auto"/>
              <w:right w:val="single" w:sz="8" w:space="0" w:color="auto"/>
            </w:tcBorders>
            <w:shd w:val="clear" w:color="auto" w:fill="auto"/>
            <w:vAlign w:val="center"/>
            <w:hideMark/>
          </w:tcPr>
          <w:p w14:paraId="47093450" w14:textId="77777777" w:rsidR="00465EDE" w:rsidRPr="00465EDE" w:rsidRDefault="00465EDE" w:rsidP="00465EDE">
            <w:pPr>
              <w:spacing w:after="0"/>
              <w:jc w:val="center"/>
              <w:rPr>
                <w:rFonts w:ascii="Arial" w:hAnsi="Arial" w:cs="Arial"/>
                <w:color w:val="000000"/>
                <w:sz w:val="20"/>
                <w:lang w:eastAsia="en-GB"/>
              </w:rPr>
            </w:pPr>
            <w:r w:rsidRPr="00465EDE">
              <w:rPr>
                <w:rFonts w:ascii="Arial" w:hAnsi="Arial" w:cs="Arial"/>
                <w:color w:val="000000"/>
                <w:sz w:val="20"/>
                <w:lang w:eastAsia="en-GB"/>
              </w:rPr>
              <w:t>8 kg</w:t>
            </w:r>
          </w:p>
        </w:tc>
      </w:tr>
      <w:tr w:rsidR="00465EDE" w:rsidRPr="00465EDE" w14:paraId="3F9EFF06" w14:textId="77777777" w:rsidTr="00465EDE">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7F944D3A" w14:textId="77777777" w:rsidR="00465EDE" w:rsidRPr="00465EDE" w:rsidRDefault="00465EDE" w:rsidP="00465EDE">
            <w:pPr>
              <w:spacing w:after="0"/>
              <w:ind w:firstLineChars="100" w:firstLine="200"/>
              <w:rPr>
                <w:rFonts w:ascii="Arial" w:hAnsi="Arial" w:cs="Arial"/>
                <w:color w:val="000000"/>
                <w:sz w:val="20"/>
                <w:lang w:eastAsia="en-GB"/>
              </w:rPr>
            </w:pPr>
            <w:r w:rsidRPr="00465EDE">
              <w:rPr>
                <w:rFonts w:ascii="Arial" w:hAnsi="Arial" w:cs="Arial"/>
                <w:color w:val="000000"/>
                <w:sz w:val="20"/>
                <w:lang w:eastAsia="en-GB"/>
              </w:rPr>
              <w:t>Energy class</w:t>
            </w:r>
          </w:p>
        </w:tc>
        <w:tc>
          <w:tcPr>
            <w:tcW w:w="1507" w:type="pct"/>
            <w:tcBorders>
              <w:top w:val="nil"/>
              <w:left w:val="nil"/>
              <w:bottom w:val="single" w:sz="8" w:space="0" w:color="auto"/>
              <w:right w:val="single" w:sz="8" w:space="0" w:color="auto"/>
            </w:tcBorders>
            <w:shd w:val="clear" w:color="auto" w:fill="auto"/>
            <w:vAlign w:val="center"/>
            <w:hideMark/>
          </w:tcPr>
          <w:p w14:paraId="77639D15" w14:textId="77777777" w:rsidR="00465EDE" w:rsidRPr="00465EDE" w:rsidRDefault="00465EDE" w:rsidP="00465EDE">
            <w:pPr>
              <w:spacing w:after="0"/>
              <w:jc w:val="center"/>
              <w:rPr>
                <w:rFonts w:ascii="Arial" w:hAnsi="Arial" w:cs="Arial"/>
                <w:color w:val="000000"/>
                <w:sz w:val="20"/>
                <w:lang w:eastAsia="en-GB"/>
              </w:rPr>
            </w:pPr>
            <w:r w:rsidRPr="00465EDE">
              <w:rPr>
                <w:rFonts w:ascii="Arial" w:hAnsi="Arial" w:cs="Arial"/>
                <w:color w:val="000000"/>
                <w:sz w:val="20"/>
                <w:lang w:eastAsia="en-GB"/>
              </w:rPr>
              <w:t>A</w:t>
            </w:r>
          </w:p>
        </w:tc>
        <w:tc>
          <w:tcPr>
            <w:tcW w:w="1507" w:type="pct"/>
            <w:tcBorders>
              <w:top w:val="nil"/>
              <w:left w:val="nil"/>
              <w:bottom w:val="single" w:sz="8" w:space="0" w:color="auto"/>
              <w:right w:val="single" w:sz="8" w:space="0" w:color="auto"/>
            </w:tcBorders>
            <w:shd w:val="clear" w:color="auto" w:fill="auto"/>
            <w:vAlign w:val="center"/>
            <w:hideMark/>
          </w:tcPr>
          <w:p w14:paraId="438E27F0" w14:textId="1B714637" w:rsidR="00465EDE" w:rsidRPr="00465EDE" w:rsidRDefault="00042222" w:rsidP="00465EDE">
            <w:pPr>
              <w:spacing w:after="0"/>
              <w:jc w:val="center"/>
              <w:rPr>
                <w:rFonts w:ascii="Arial" w:hAnsi="Arial" w:cs="Arial"/>
                <w:color w:val="000000"/>
                <w:sz w:val="20"/>
                <w:lang w:eastAsia="en-GB"/>
              </w:rPr>
            </w:pPr>
            <w:r>
              <w:rPr>
                <w:rFonts w:ascii="Arial" w:hAnsi="Arial" w:cs="Arial"/>
                <w:color w:val="000000"/>
                <w:sz w:val="20"/>
                <w:lang w:eastAsia="en-GB"/>
              </w:rPr>
              <w:t>E</w:t>
            </w:r>
          </w:p>
        </w:tc>
      </w:tr>
      <w:tr w:rsidR="00465EDE" w:rsidRPr="00465EDE" w14:paraId="3E08882C" w14:textId="77777777" w:rsidTr="00465EDE">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51AA650B" w14:textId="254B1BAC" w:rsidR="00465EDE" w:rsidRPr="00465EDE" w:rsidRDefault="00465EDE" w:rsidP="00465EDE">
            <w:pPr>
              <w:spacing w:after="0"/>
              <w:ind w:firstLineChars="100" w:firstLine="200"/>
              <w:rPr>
                <w:rFonts w:ascii="Arial" w:hAnsi="Arial" w:cs="Arial"/>
                <w:color w:val="000000"/>
                <w:sz w:val="20"/>
                <w:lang w:eastAsia="en-GB"/>
              </w:rPr>
            </w:pPr>
            <w:r w:rsidRPr="00465EDE">
              <w:rPr>
                <w:rFonts w:ascii="Arial" w:hAnsi="Arial" w:cs="Arial"/>
                <w:color w:val="000000"/>
                <w:sz w:val="20"/>
                <w:lang w:eastAsia="en-GB"/>
              </w:rPr>
              <w:t>Electricity consumption</w:t>
            </w:r>
            <w:r w:rsidR="00734973">
              <w:rPr>
                <w:rFonts w:ascii="Arial" w:hAnsi="Arial" w:cs="Arial"/>
                <w:color w:val="000000"/>
                <w:sz w:val="20"/>
                <w:lang w:eastAsia="en-GB"/>
              </w:rPr>
              <w:t xml:space="preserve"> </w:t>
            </w:r>
            <w:r w:rsidR="00734973" w:rsidRPr="004E21C5">
              <w:rPr>
                <w:rFonts w:ascii="Arial" w:hAnsi="Arial" w:cs="Arial"/>
                <w:color w:val="000000"/>
                <w:sz w:val="18"/>
                <w:szCs w:val="18"/>
                <w:lang w:eastAsia="en-GB"/>
              </w:rPr>
              <w:t>(kW/year)</w:t>
            </w:r>
          </w:p>
        </w:tc>
        <w:tc>
          <w:tcPr>
            <w:tcW w:w="1507" w:type="pct"/>
            <w:tcBorders>
              <w:top w:val="nil"/>
              <w:left w:val="nil"/>
              <w:bottom w:val="single" w:sz="8" w:space="0" w:color="auto"/>
              <w:right w:val="single" w:sz="8" w:space="0" w:color="auto"/>
            </w:tcBorders>
            <w:shd w:val="clear" w:color="auto" w:fill="auto"/>
            <w:vAlign w:val="center"/>
            <w:hideMark/>
          </w:tcPr>
          <w:p w14:paraId="10F32500" w14:textId="71B7E2FD" w:rsidR="00465EDE" w:rsidRPr="00465EDE" w:rsidRDefault="00465EDE" w:rsidP="00465EDE">
            <w:pPr>
              <w:spacing w:after="0"/>
              <w:jc w:val="center"/>
              <w:rPr>
                <w:rFonts w:ascii="Arial" w:hAnsi="Arial" w:cs="Arial"/>
                <w:color w:val="000000"/>
                <w:sz w:val="20"/>
                <w:lang w:eastAsia="en-GB"/>
              </w:rPr>
            </w:pPr>
            <w:r w:rsidRPr="00465EDE">
              <w:rPr>
                <w:rFonts w:ascii="Arial" w:hAnsi="Arial" w:cs="Arial"/>
                <w:color w:val="000000"/>
                <w:sz w:val="20"/>
                <w:lang w:eastAsia="en-GB"/>
              </w:rPr>
              <w:t>10</w:t>
            </w:r>
            <w:r w:rsidR="00734973">
              <w:rPr>
                <w:rFonts w:ascii="Arial" w:hAnsi="Arial" w:cs="Arial"/>
                <w:color w:val="000000"/>
                <w:sz w:val="20"/>
                <w:lang w:eastAsia="en-GB"/>
              </w:rPr>
              <w:t>5</w:t>
            </w:r>
          </w:p>
        </w:tc>
        <w:tc>
          <w:tcPr>
            <w:tcW w:w="1507" w:type="pct"/>
            <w:tcBorders>
              <w:top w:val="nil"/>
              <w:left w:val="nil"/>
              <w:bottom w:val="single" w:sz="8" w:space="0" w:color="auto"/>
              <w:right w:val="single" w:sz="8" w:space="0" w:color="auto"/>
            </w:tcBorders>
            <w:shd w:val="clear" w:color="auto" w:fill="auto"/>
            <w:vAlign w:val="center"/>
            <w:hideMark/>
          </w:tcPr>
          <w:p w14:paraId="5ADF27D9" w14:textId="596F5047" w:rsidR="00465EDE" w:rsidRPr="00465EDE" w:rsidRDefault="00734973" w:rsidP="00465EDE">
            <w:pPr>
              <w:spacing w:after="0"/>
              <w:jc w:val="center"/>
              <w:rPr>
                <w:rFonts w:ascii="Arial" w:hAnsi="Arial" w:cs="Arial"/>
                <w:color w:val="000000"/>
                <w:sz w:val="20"/>
                <w:lang w:eastAsia="en-GB"/>
              </w:rPr>
            </w:pPr>
            <w:r>
              <w:rPr>
                <w:rFonts w:ascii="Arial" w:hAnsi="Arial" w:cs="Arial"/>
                <w:color w:val="000000"/>
                <w:sz w:val="20"/>
                <w:lang w:eastAsia="en-GB"/>
              </w:rPr>
              <w:t>1</w:t>
            </w:r>
            <w:r w:rsidR="00042222">
              <w:rPr>
                <w:rFonts w:ascii="Arial" w:hAnsi="Arial" w:cs="Arial"/>
                <w:color w:val="000000"/>
                <w:sz w:val="20"/>
                <w:lang w:eastAsia="en-GB"/>
              </w:rPr>
              <w:t>84</w:t>
            </w:r>
          </w:p>
        </w:tc>
      </w:tr>
      <w:tr w:rsidR="00465EDE" w:rsidRPr="00465EDE" w14:paraId="5BA014BD" w14:textId="77777777" w:rsidTr="00465EDE">
        <w:trPr>
          <w:trHeight w:val="300"/>
        </w:trPr>
        <w:tc>
          <w:tcPr>
            <w:tcW w:w="1987" w:type="pct"/>
            <w:tcBorders>
              <w:top w:val="nil"/>
              <w:left w:val="single" w:sz="8" w:space="0" w:color="auto"/>
              <w:bottom w:val="single" w:sz="8" w:space="0" w:color="auto"/>
              <w:right w:val="single" w:sz="8" w:space="0" w:color="auto"/>
            </w:tcBorders>
            <w:shd w:val="clear" w:color="auto" w:fill="auto"/>
            <w:vAlign w:val="center"/>
            <w:hideMark/>
          </w:tcPr>
          <w:p w14:paraId="685CDFBE" w14:textId="77777777" w:rsidR="00465EDE" w:rsidRPr="00465EDE" w:rsidRDefault="00465EDE" w:rsidP="00465EDE">
            <w:pPr>
              <w:spacing w:after="0"/>
              <w:ind w:firstLineChars="100" w:firstLine="200"/>
              <w:rPr>
                <w:rFonts w:ascii="Arial" w:hAnsi="Arial" w:cs="Arial"/>
                <w:color w:val="000000"/>
                <w:sz w:val="20"/>
                <w:lang w:eastAsia="en-GB"/>
              </w:rPr>
            </w:pPr>
            <w:r w:rsidRPr="00465EDE">
              <w:rPr>
                <w:rFonts w:ascii="Arial" w:hAnsi="Arial" w:cs="Arial"/>
                <w:color w:val="000000"/>
                <w:sz w:val="20"/>
                <w:lang w:eastAsia="en-GB"/>
              </w:rPr>
              <w:t>Water consumption</w:t>
            </w:r>
          </w:p>
        </w:tc>
        <w:tc>
          <w:tcPr>
            <w:tcW w:w="1507" w:type="pct"/>
            <w:tcBorders>
              <w:top w:val="nil"/>
              <w:left w:val="nil"/>
              <w:bottom w:val="single" w:sz="8" w:space="0" w:color="auto"/>
              <w:right w:val="single" w:sz="8" w:space="0" w:color="auto"/>
            </w:tcBorders>
            <w:shd w:val="clear" w:color="auto" w:fill="auto"/>
            <w:vAlign w:val="center"/>
            <w:hideMark/>
          </w:tcPr>
          <w:p w14:paraId="4E005B1B" w14:textId="4AB01993" w:rsidR="00465EDE" w:rsidRPr="00465EDE" w:rsidRDefault="00465EDE" w:rsidP="00465EDE">
            <w:pPr>
              <w:spacing w:after="0"/>
              <w:jc w:val="center"/>
              <w:rPr>
                <w:rFonts w:ascii="Arial" w:hAnsi="Arial" w:cs="Arial"/>
                <w:color w:val="000000"/>
                <w:sz w:val="20"/>
                <w:lang w:eastAsia="en-GB"/>
              </w:rPr>
            </w:pPr>
            <w:r w:rsidRPr="00465EDE">
              <w:rPr>
                <w:rFonts w:ascii="Arial" w:hAnsi="Arial" w:cs="Arial"/>
                <w:color w:val="000000"/>
                <w:sz w:val="20"/>
                <w:lang w:eastAsia="en-GB"/>
              </w:rPr>
              <w:t>9,</w:t>
            </w:r>
            <w:r w:rsidR="00734973">
              <w:rPr>
                <w:rFonts w:ascii="Arial" w:hAnsi="Arial" w:cs="Arial"/>
                <w:color w:val="000000"/>
                <w:sz w:val="20"/>
                <w:lang w:eastAsia="en-GB"/>
              </w:rPr>
              <w:t>610</w:t>
            </w:r>
            <w:r w:rsidRPr="00465EDE">
              <w:rPr>
                <w:rFonts w:ascii="Arial" w:hAnsi="Arial" w:cs="Arial"/>
                <w:color w:val="000000"/>
                <w:sz w:val="20"/>
                <w:lang w:eastAsia="en-GB"/>
              </w:rPr>
              <w:t xml:space="preserve"> l/year</w:t>
            </w:r>
          </w:p>
        </w:tc>
        <w:tc>
          <w:tcPr>
            <w:tcW w:w="1507" w:type="pct"/>
            <w:tcBorders>
              <w:top w:val="nil"/>
              <w:left w:val="nil"/>
              <w:bottom w:val="single" w:sz="8" w:space="0" w:color="auto"/>
              <w:right w:val="single" w:sz="8" w:space="0" w:color="auto"/>
            </w:tcBorders>
            <w:shd w:val="clear" w:color="auto" w:fill="auto"/>
            <w:vAlign w:val="center"/>
            <w:hideMark/>
          </w:tcPr>
          <w:p w14:paraId="7EB407E7" w14:textId="26005388" w:rsidR="00465EDE" w:rsidRPr="00465EDE" w:rsidRDefault="00465EDE" w:rsidP="00465EDE">
            <w:pPr>
              <w:spacing w:after="0"/>
              <w:jc w:val="center"/>
              <w:rPr>
                <w:rFonts w:ascii="Arial" w:hAnsi="Arial" w:cs="Arial"/>
                <w:color w:val="000000"/>
                <w:sz w:val="20"/>
                <w:lang w:eastAsia="en-GB"/>
              </w:rPr>
            </w:pPr>
            <w:r w:rsidRPr="00465EDE">
              <w:rPr>
                <w:rFonts w:ascii="Arial" w:hAnsi="Arial" w:cs="Arial"/>
                <w:color w:val="000000"/>
                <w:sz w:val="20"/>
                <w:lang w:eastAsia="en-GB"/>
              </w:rPr>
              <w:t>1</w:t>
            </w:r>
            <w:r w:rsidR="00042222">
              <w:rPr>
                <w:rFonts w:ascii="Arial" w:hAnsi="Arial" w:cs="Arial"/>
                <w:color w:val="000000"/>
                <w:sz w:val="20"/>
                <w:lang w:eastAsia="en-GB"/>
              </w:rPr>
              <w:t>6,817</w:t>
            </w:r>
            <w:r w:rsidRPr="00465EDE">
              <w:rPr>
                <w:rFonts w:ascii="Arial" w:hAnsi="Arial" w:cs="Arial"/>
                <w:color w:val="000000"/>
                <w:sz w:val="20"/>
                <w:lang w:eastAsia="en-GB"/>
              </w:rPr>
              <w:t xml:space="preserve"> l/year</w:t>
            </w:r>
          </w:p>
        </w:tc>
      </w:tr>
      <w:tr w:rsidR="00465EDE" w:rsidRPr="00465EDE" w14:paraId="7268D5D7" w14:textId="77777777" w:rsidTr="00465EDE">
        <w:trPr>
          <w:trHeight w:val="620"/>
        </w:trPr>
        <w:tc>
          <w:tcPr>
            <w:tcW w:w="1987" w:type="pct"/>
            <w:tcBorders>
              <w:top w:val="nil"/>
              <w:left w:val="single" w:sz="8" w:space="0" w:color="auto"/>
              <w:bottom w:val="single" w:sz="12" w:space="0" w:color="auto"/>
              <w:right w:val="single" w:sz="8" w:space="0" w:color="auto"/>
            </w:tcBorders>
            <w:shd w:val="clear" w:color="auto" w:fill="auto"/>
            <w:vAlign w:val="center"/>
            <w:hideMark/>
          </w:tcPr>
          <w:p w14:paraId="59B04EA7" w14:textId="77777777" w:rsidR="00980ED3" w:rsidRPr="001C12A7" w:rsidRDefault="00465EDE" w:rsidP="00465EDE">
            <w:pPr>
              <w:spacing w:after="0"/>
              <w:ind w:firstLineChars="100" w:firstLine="200"/>
              <w:rPr>
                <w:rFonts w:ascii="Arial" w:hAnsi="Arial" w:cs="Arial"/>
                <w:b/>
                <w:bCs/>
                <w:color w:val="000000"/>
                <w:sz w:val="20"/>
                <w:lang w:eastAsia="en-GB"/>
              </w:rPr>
            </w:pPr>
            <w:r w:rsidRPr="00465EDE">
              <w:rPr>
                <w:rFonts w:ascii="Arial" w:hAnsi="Arial" w:cs="Arial"/>
                <w:b/>
                <w:bCs/>
                <w:color w:val="000000"/>
                <w:sz w:val="20"/>
                <w:lang w:eastAsia="en-GB"/>
              </w:rPr>
              <w:t>Use cost</w:t>
            </w:r>
          </w:p>
          <w:p w14:paraId="27487F30" w14:textId="7AA43AFA" w:rsidR="00465EDE" w:rsidRPr="00465EDE" w:rsidRDefault="00465EDE" w:rsidP="00980ED3">
            <w:pPr>
              <w:spacing w:after="0"/>
              <w:ind w:firstLineChars="100" w:firstLine="180"/>
              <w:rPr>
                <w:rFonts w:ascii="Arial" w:hAnsi="Arial" w:cs="Arial"/>
                <w:color w:val="000000"/>
                <w:sz w:val="20"/>
                <w:lang w:eastAsia="en-GB"/>
              </w:rPr>
            </w:pPr>
            <w:r w:rsidRPr="00465EDE">
              <w:rPr>
                <w:rFonts w:ascii="Arial" w:hAnsi="Arial" w:cs="Arial"/>
                <w:color w:val="000000"/>
                <w:sz w:val="18"/>
                <w:szCs w:val="18"/>
                <w:lang w:eastAsia="en-GB"/>
              </w:rPr>
              <w:t>(electricity + water in 15</w:t>
            </w:r>
            <w:r w:rsidR="00980ED3" w:rsidRPr="00C47273">
              <w:rPr>
                <w:rFonts w:ascii="Arial" w:hAnsi="Arial" w:cs="Arial"/>
                <w:color w:val="000000"/>
                <w:sz w:val="18"/>
                <w:szCs w:val="18"/>
                <w:lang w:eastAsia="en-GB"/>
              </w:rPr>
              <w:t xml:space="preserve"> </w:t>
            </w:r>
            <w:r w:rsidR="00C51599" w:rsidRPr="00C47273">
              <w:rPr>
                <w:rFonts w:ascii="Arial" w:hAnsi="Arial" w:cs="Arial"/>
                <w:color w:val="000000"/>
                <w:sz w:val="18"/>
                <w:szCs w:val="18"/>
                <w:lang w:eastAsia="en-GB"/>
              </w:rPr>
              <w:t>y</w:t>
            </w:r>
            <w:r w:rsidR="009048FE" w:rsidRPr="00C47273">
              <w:rPr>
                <w:rFonts w:ascii="Arial" w:hAnsi="Arial" w:cs="Arial"/>
                <w:color w:val="000000"/>
                <w:sz w:val="18"/>
                <w:szCs w:val="18"/>
                <w:lang w:eastAsia="en-GB"/>
              </w:rPr>
              <w:t>ear</w:t>
            </w:r>
            <w:r w:rsidR="00980ED3" w:rsidRPr="00C47273">
              <w:rPr>
                <w:rFonts w:ascii="Arial" w:hAnsi="Arial" w:cs="Arial"/>
                <w:color w:val="000000"/>
                <w:sz w:val="18"/>
                <w:szCs w:val="18"/>
                <w:lang w:eastAsia="en-GB"/>
              </w:rPr>
              <w:t>s</w:t>
            </w:r>
            <w:r w:rsidRPr="00465EDE">
              <w:rPr>
                <w:rFonts w:ascii="Arial" w:hAnsi="Arial" w:cs="Arial"/>
                <w:color w:val="000000"/>
                <w:sz w:val="18"/>
                <w:szCs w:val="18"/>
                <w:lang w:eastAsia="en-GB"/>
              </w:rPr>
              <w:t>)</w:t>
            </w:r>
          </w:p>
        </w:tc>
        <w:tc>
          <w:tcPr>
            <w:tcW w:w="1507" w:type="pct"/>
            <w:tcBorders>
              <w:top w:val="nil"/>
              <w:left w:val="nil"/>
              <w:bottom w:val="single" w:sz="12" w:space="0" w:color="auto"/>
              <w:right w:val="single" w:sz="8" w:space="0" w:color="auto"/>
            </w:tcBorders>
            <w:shd w:val="clear" w:color="auto" w:fill="auto"/>
            <w:vAlign w:val="center"/>
            <w:hideMark/>
          </w:tcPr>
          <w:p w14:paraId="234416D3" w14:textId="77891E3E" w:rsidR="00465EDE" w:rsidRPr="00465EDE" w:rsidRDefault="00465EDE" w:rsidP="00465EDE">
            <w:pPr>
              <w:spacing w:after="0"/>
              <w:jc w:val="center"/>
              <w:rPr>
                <w:rFonts w:ascii="Arial" w:hAnsi="Arial" w:cs="Arial"/>
                <w:color w:val="000000"/>
                <w:sz w:val="20"/>
                <w:lang w:eastAsia="en-GB"/>
              </w:rPr>
            </w:pPr>
            <w:r w:rsidRPr="00465EDE">
              <w:rPr>
                <w:rFonts w:ascii="Arial" w:hAnsi="Arial" w:cs="Arial"/>
                <w:color w:val="000000"/>
                <w:sz w:val="20"/>
                <w:lang w:eastAsia="en-GB"/>
              </w:rPr>
              <w:t>6</w:t>
            </w:r>
            <w:r w:rsidR="0069500E">
              <w:rPr>
                <w:rFonts w:ascii="Arial" w:hAnsi="Arial" w:cs="Arial"/>
                <w:color w:val="000000"/>
                <w:sz w:val="20"/>
                <w:lang w:eastAsia="en-GB"/>
              </w:rPr>
              <w:t>76</w:t>
            </w:r>
            <w:r w:rsidRPr="00465EDE">
              <w:rPr>
                <w:rFonts w:ascii="Arial" w:hAnsi="Arial" w:cs="Arial"/>
                <w:color w:val="000000"/>
                <w:sz w:val="20"/>
                <w:lang w:eastAsia="en-GB"/>
              </w:rPr>
              <w:t xml:space="preserve"> €</w:t>
            </w:r>
          </w:p>
        </w:tc>
        <w:tc>
          <w:tcPr>
            <w:tcW w:w="1507" w:type="pct"/>
            <w:tcBorders>
              <w:top w:val="nil"/>
              <w:left w:val="nil"/>
              <w:bottom w:val="single" w:sz="12" w:space="0" w:color="auto"/>
              <w:right w:val="single" w:sz="8" w:space="0" w:color="auto"/>
            </w:tcBorders>
            <w:shd w:val="clear" w:color="auto" w:fill="auto"/>
            <w:vAlign w:val="center"/>
            <w:hideMark/>
          </w:tcPr>
          <w:p w14:paraId="062C73F3" w14:textId="5662C915" w:rsidR="00465EDE" w:rsidRPr="00465EDE" w:rsidRDefault="00042222" w:rsidP="00465EDE">
            <w:pPr>
              <w:spacing w:after="0"/>
              <w:jc w:val="center"/>
              <w:rPr>
                <w:rFonts w:ascii="Arial" w:hAnsi="Arial" w:cs="Arial"/>
                <w:color w:val="000000"/>
                <w:sz w:val="20"/>
                <w:lang w:eastAsia="en-GB"/>
              </w:rPr>
            </w:pPr>
            <w:r>
              <w:rPr>
                <w:rFonts w:ascii="Arial" w:hAnsi="Arial" w:cs="Arial"/>
                <w:color w:val="000000"/>
                <w:sz w:val="20"/>
                <w:lang w:eastAsia="en-GB"/>
              </w:rPr>
              <w:t>1,183</w:t>
            </w:r>
            <w:r w:rsidR="00465EDE" w:rsidRPr="00465EDE">
              <w:rPr>
                <w:rFonts w:ascii="Arial" w:hAnsi="Arial" w:cs="Arial"/>
                <w:color w:val="000000"/>
                <w:sz w:val="20"/>
                <w:lang w:eastAsia="en-GB"/>
              </w:rPr>
              <w:t xml:space="preserve"> €</w:t>
            </w:r>
          </w:p>
        </w:tc>
      </w:tr>
      <w:tr w:rsidR="00465EDE" w:rsidRPr="00465EDE" w14:paraId="0BB402E5" w14:textId="77777777" w:rsidTr="00465EDE">
        <w:trPr>
          <w:trHeight w:val="630"/>
        </w:trPr>
        <w:tc>
          <w:tcPr>
            <w:tcW w:w="1987" w:type="pct"/>
            <w:tcBorders>
              <w:top w:val="nil"/>
              <w:left w:val="single" w:sz="8" w:space="0" w:color="auto"/>
              <w:bottom w:val="single" w:sz="8" w:space="0" w:color="auto"/>
              <w:right w:val="single" w:sz="8" w:space="0" w:color="auto"/>
            </w:tcBorders>
            <w:shd w:val="clear" w:color="000000" w:fill="C2D69B"/>
            <w:vAlign w:val="center"/>
            <w:hideMark/>
          </w:tcPr>
          <w:p w14:paraId="3AE08B86" w14:textId="77777777" w:rsidR="00465EDE" w:rsidRPr="00465EDE" w:rsidRDefault="00465EDE" w:rsidP="00465EDE">
            <w:pPr>
              <w:spacing w:after="0"/>
              <w:jc w:val="center"/>
              <w:rPr>
                <w:rFonts w:ascii="Arial" w:hAnsi="Arial" w:cs="Arial"/>
                <w:b/>
                <w:bCs/>
                <w:color w:val="000000"/>
                <w:sz w:val="20"/>
                <w:lang w:eastAsia="en-GB"/>
              </w:rPr>
            </w:pPr>
            <w:r w:rsidRPr="00465EDE">
              <w:rPr>
                <w:rFonts w:ascii="Arial" w:hAnsi="Arial" w:cs="Arial"/>
                <w:b/>
                <w:bCs/>
                <w:color w:val="000000"/>
                <w:sz w:val="20"/>
                <w:lang w:eastAsia="en-GB"/>
              </w:rPr>
              <w:t>Savings in 15 years</w:t>
            </w:r>
          </w:p>
        </w:tc>
        <w:tc>
          <w:tcPr>
            <w:tcW w:w="3013" w:type="pct"/>
            <w:gridSpan w:val="2"/>
            <w:tcBorders>
              <w:top w:val="nil"/>
              <w:left w:val="nil"/>
              <w:bottom w:val="single" w:sz="8" w:space="0" w:color="auto"/>
              <w:right w:val="single" w:sz="8" w:space="0" w:color="000000"/>
            </w:tcBorders>
            <w:shd w:val="clear" w:color="000000" w:fill="C2D69B"/>
            <w:vAlign w:val="center"/>
            <w:hideMark/>
          </w:tcPr>
          <w:p w14:paraId="5355553E" w14:textId="6FE4C972" w:rsidR="00465EDE" w:rsidRPr="00465EDE" w:rsidRDefault="00042222" w:rsidP="00465EDE">
            <w:pPr>
              <w:spacing w:after="0"/>
              <w:jc w:val="center"/>
              <w:rPr>
                <w:rFonts w:ascii="Arial" w:hAnsi="Arial" w:cs="Arial"/>
                <w:b/>
                <w:bCs/>
                <w:color w:val="000000"/>
                <w:sz w:val="20"/>
                <w:lang w:eastAsia="en-GB"/>
              </w:rPr>
            </w:pPr>
            <w:r>
              <w:rPr>
                <w:rFonts w:ascii="Arial" w:hAnsi="Arial" w:cs="Arial"/>
                <w:b/>
                <w:bCs/>
                <w:color w:val="000000"/>
                <w:sz w:val="20"/>
                <w:lang w:eastAsia="en-GB"/>
              </w:rPr>
              <w:t>43</w:t>
            </w:r>
            <w:r w:rsidR="00465EDE" w:rsidRPr="00465EDE">
              <w:rPr>
                <w:rFonts w:ascii="Arial" w:hAnsi="Arial" w:cs="Arial"/>
                <w:b/>
                <w:bCs/>
                <w:color w:val="000000"/>
                <w:sz w:val="20"/>
                <w:lang w:eastAsia="en-GB"/>
              </w:rPr>
              <w:t xml:space="preserve">% energy + </w:t>
            </w:r>
            <w:r>
              <w:rPr>
                <w:rFonts w:ascii="Arial" w:hAnsi="Arial" w:cs="Arial"/>
                <w:b/>
                <w:bCs/>
                <w:color w:val="000000"/>
                <w:sz w:val="20"/>
                <w:lang w:eastAsia="en-GB"/>
              </w:rPr>
              <w:t>43</w:t>
            </w:r>
            <w:r w:rsidR="00465EDE" w:rsidRPr="00465EDE">
              <w:rPr>
                <w:rFonts w:ascii="Arial" w:hAnsi="Arial" w:cs="Arial"/>
                <w:b/>
                <w:bCs/>
                <w:color w:val="000000"/>
                <w:sz w:val="20"/>
                <w:lang w:eastAsia="en-GB"/>
              </w:rPr>
              <w:t>% water</w:t>
            </w:r>
            <w:r w:rsidR="00465EDE" w:rsidRPr="00465EDE">
              <w:rPr>
                <w:rFonts w:ascii="Arial" w:hAnsi="Arial" w:cs="Arial"/>
                <w:b/>
                <w:bCs/>
                <w:color w:val="000000"/>
                <w:sz w:val="20"/>
                <w:lang w:eastAsia="en-GB"/>
              </w:rPr>
              <w:br/>
            </w:r>
            <w:r>
              <w:rPr>
                <w:rFonts w:ascii="Arial" w:hAnsi="Arial" w:cs="Arial"/>
                <w:b/>
                <w:bCs/>
                <w:color w:val="000000"/>
                <w:sz w:val="20"/>
                <w:lang w:eastAsia="en-GB"/>
              </w:rPr>
              <w:t>507</w:t>
            </w:r>
            <w:r w:rsidR="00465EDE" w:rsidRPr="00465EDE">
              <w:rPr>
                <w:rFonts w:ascii="Arial" w:hAnsi="Arial" w:cs="Arial"/>
                <w:b/>
                <w:bCs/>
                <w:color w:val="000000"/>
                <w:sz w:val="20"/>
                <w:lang w:eastAsia="en-GB"/>
              </w:rPr>
              <w:t xml:space="preserve"> € / unit (energy + water)</w:t>
            </w:r>
          </w:p>
        </w:tc>
      </w:tr>
    </w:tbl>
    <w:p w14:paraId="3EA8CF1F" w14:textId="6D1E9E3E" w:rsidR="00465EDE" w:rsidRDefault="00465EDE" w:rsidP="00E86CBB">
      <w:pPr>
        <w:spacing w:after="0" w:line="300" w:lineRule="exact"/>
        <w:jc w:val="both"/>
        <w:rPr>
          <w:rFonts w:ascii="Arial" w:hAnsi="Arial" w:cs="Arial"/>
          <w:sz w:val="20"/>
        </w:rPr>
      </w:pPr>
    </w:p>
    <w:p w14:paraId="4AA9A363" w14:textId="68EDF856" w:rsidR="00465EDE" w:rsidRDefault="00465EDE" w:rsidP="00E86CBB">
      <w:pPr>
        <w:spacing w:after="0" w:line="300" w:lineRule="exact"/>
        <w:jc w:val="both"/>
        <w:rPr>
          <w:rFonts w:ascii="Arial" w:hAnsi="Arial" w:cs="Arial"/>
          <w:sz w:val="20"/>
        </w:rPr>
      </w:pPr>
    </w:p>
    <w:p w14:paraId="0C5CE040" w14:textId="77777777" w:rsidR="00465EDE" w:rsidRDefault="00465EDE" w:rsidP="00E86CBB">
      <w:pPr>
        <w:spacing w:after="0" w:line="300" w:lineRule="exact"/>
        <w:jc w:val="both"/>
        <w:rPr>
          <w:rFonts w:ascii="Arial" w:hAnsi="Arial" w:cs="Arial"/>
          <w:sz w:val="20"/>
        </w:rPr>
      </w:pPr>
    </w:p>
    <w:p w14:paraId="7364CEE7" w14:textId="7D62661B" w:rsidR="0004566C" w:rsidRDefault="0004566C" w:rsidP="00E86CBB">
      <w:pPr>
        <w:spacing w:after="0" w:line="300" w:lineRule="exact"/>
        <w:jc w:val="both"/>
        <w:rPr>
          <w:rFonts w:ascii="Arial" w:hAnsi="Arial" w:cs="Arial"/>
          <w:sz w:val="20"/>
        </w:rPr>
      </w:pPr>
    </w:p>
    <w:p w14:paraId="140A5CDF" w14:textId="0C4FBEA6" w:rsidR="003D2573" w:rsidRDefault="009D1C02" w:rsidP="00697557">
      <w:pPr>
        <w:spacing w:before="120" w:line="300" w:lineRule="exact"/>
        <w:jc w:val="both"/>
        <w:rPr>
          <w:rFonts w:ascii="Arial" w:hAnsi="Arial" w:cs="Arial"/>
          <w:sz w:val="20"/>
        </w:rPr>
      </w:pPr>
      <w:r w:rsidRPr="009D1C02">
        <w:rPr>
          <w:rFonts w:ascii="Arial" w:hAnsi="Arial" w:cs="Arial"/>
          <w:sz w:val="20"/>
        </w:rPr>
        <w:t xml:space="preserve">Topten models can consume about </w:t>
      </w:r>
      <w:r w:rsidR="00042222">
        <w:rPr>
          <w:rFonts w:ascii="Arial" w:hAnsi="Arial" w:cs="Arial"/>
          <w:sz w:val="20"/>
        </w:rPr>
        <w:t>43</w:t>
      </w:r>
      <w:r>
        <w:rPr>
          <w:rFonts w:ascii="Arial" w:hAnsi="Arial" w:cs="Arial"/>
          <w:sz w:val="20"/>
        </w:rPr>
        <w:t>%</w:t>
      </w:r>
      <w:r w:rsidRPr="009D1C02">
        <w:rPr>
          <w:rFonts w:ascii="Arial" w:hAnsi="Arial" w:cs="Arial"/>
          <w:sz w:val="20"/>
        </w:rPr>
        <w:t xml:space="preserve"> less energy and </w:t>
      </w:r>
      <w:r w:rsidR="00042222">
        <w:rPr>
          <w:rFonts w:ascii="Arial" w:hAnsi="Arial" w:cs="Arial"/>
          <w:sz w:val="20"/>
        </w:rPr>
        <w:t>43</w:t>
      </w:r>
      <w:r>
        <w:rPr>
          <w:rFonts w:ascii="Arial" w:hAnsi="Arial" w:cs="Arial"/>
          <w:sz w:val="20"/>
        </w:rPr>
        <w:t xml:space="preserve">% </w:t>
      </w:r>
      <w:r w:rsidRPr="009D1C02">
        <w:rPr>
          <w:rFonts w:ascii="Arial" w:hAnsi="Arial" w:cs="Arial"/>
          <w:sz w:val="20"/>
        </w:rPr>
        <w:t xml:space="preserve">less water compared to inefficient models. This can lead to a saving of approximatively </w:t>
      </w:r>
      <w:r w:rsidR="00042222">
        <w:rPr>
          <w:rFonts w:ascii="Arial" w:hAnsi="Arial" w:cs="Arial"/>
          <w:sz w:val="20"/>
        </w:rPr>
        <w:t>507</w:t>
      </w:r>
      <w:r w:rsidRPr="009D1C02">
        <w:rPr>
          <w:rFonts w:ascii="Arial" w:hAnsi="Arial" w:cs="Arial"/>
          <w:sz w:val="20"/>
        </w:rPr>
        <w:t xml:space="preserve"> € </w:t>
      </w:r>
      <w:r w:rsidR="00CD1A6E">
        <w:rPr>
          <w:rFonts w:ascii="Arial" w:hAnsi="Arial" w:cs="Arial"/>
          <w:sz w:val="20"/>
        </w:rPr>
        <w:t xml:space="preserve">per </w:t>
      </w:r>
      <w:r w:rsidRPr="009D1C02">
        <w:rPr>
          <w:rFonts w:ascii="Arial" w:hAnsi="Arial" w:cs="Arial"/>
          <w:sz w:val="20"/>
        </w:rPr>
        <w:t>unit in energy and water over their lifetime</w:t>
      </w:r>
      <w:r w:rsidR="00DE0597">
        <w:rPr>
          <w:rFonts w:ascii="Arial" w:hAnsi="Arial" w:cs="Arial"/>
          <w:sz w:val="20"/>
        </w:rPr>
        <w:t>.</w:t>
      </w: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48C9E1E7"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6982EC6A"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C95F37">
        <w:rPr>
          <w:rFonts w:ascii="Arial" w:hAnsi="Arial" w:cs="Arial"/>
          <w:b/>
          <w:smallCaps/>
          <w:szCs w:val="24"/>
        </w:rPr>
        <w:t>Washing Machines</w:t>
      </w:r>
      <w:r w:rsidR="00E86CBB">
        <w:rPr>
          <w:rFonts w:ascii="Arial" w:hAnsi="Arial" w:cs="Arial"/>
          <w:b/>
          <w:smallCaps/>
          <w:szCs w:val="24"/>
        </w:rPr>
        <w:t xml:space="preserve"> </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128DCA8F" w14:textId="45232D57" w:rsidR="00E86CBB" w:rsidRPr="00B67515" w:rsidRDefault="00E86CBB" w:rsidP="00E86CBB">
      <w:pPr>
        <w:spacing w:after="0" w:line="300" w:lineRule="exact"/>
        <w:jc w:val="both"/>
        <w:rPr>
          <w:rFonts w:ascii="Arial" w:hAnsi="Arial" w:cs="Arial"/>
          <w:b/>
          <w:sz w:val="20"/>
        </w:rPr>
      </w:pPr>
      <w:r>
        <w:rPr>
          <w:rFonts w:ascii="Arial" w:hAnsi="Arial" w:cs="Arial"/>
          <w:b/>
          <w:sz w:val="20"/>
        </w:rPr>
        <w:t>Energy class</w:t>
      </w:r>
      <w:r w:rsidR="008E4557">
        <w:rPr>
          <w:rFonts w:ascii="Arial" w:hAnsi="Arial" w:cs="Arial"/>
          <w:b/>
          <w:sz w:val="20"/>
        </w:rPr>
        <w:t xml:space="preserve"> according to EU energy label</w:t>
      </w:r>
    </w:p>
    <w:p w14:paraId="6A276016" w14:textId="6432416E" w:rsidR="008E4557" w:rsidRDefault="008E4557" w:rsidP="008E4557">
      <w:pPr>
        <w:pStyle w:val="ListParagraph"/>
        <w:numPr>
          <w:ilvl w:val="0"/>
          <w:numId w:val="19"/>
        </w:numPr>
        <w:spacing w:line="300" w:lineRule="exact"/>
        <w:jc w:val="both"/>
        <w:rPr>
          <w:rFonts w:ascii="Arial" w:hAnsi="Arial" w:cs="Arial"/>
          <w:sz w:val="20"/>
        </w:rPr>
      </w:pPr>
      <w:r>
        <w:rPr>
          <w:rFonts w:ascii="Source Sans Pro" w:hAnsi="Source Sans Pro"/>
          <w:color w:val="4B4B4B"/>
          <w:sz w:val="21"/>
          <w:szCs w:val="21"/>
          <w:shd w:val="clear" w:color="auto" w:fill="FFFFFF"/>
        </w:rPr>
        <w:t>Models with capacity up to 8 kg: A to D</w:t>
      </w:r>
      <w:r w:rsidRPr="008E4557">
        <w:rPr>
          <w:rFonts w:ascii="Arial" w:hAnsi="Arial" w:cs="Arial"/>
          <w:sz w:val="20"/>
        </w:rPr>
        <w:t xml:space="preserve"> </w:t>
      </w:r>
    </w:p>
    <w:p w14:paraId="277BAC08" w14:textId="1CC16D9A" w:rsidR="008E4557" w:rsidRPr="008E4557" w:rsidRDefault="008E4557" w:rsidP="008E4557">
      <w:pPr>
        <w:pStyle w:val="ListParagraph"/>
        <w:numPr>
          <w:ilvl w:val="0"/>
          <w:numId w:val="19"/>
        </w:numPr>
        <w:spacing w:line="300" w:lineRule="exact"/>
        <w:jc w:val="both"/>
        <w:rPr>
          <w:rFonts w:ascii="Arial" w:hAnsi="Arial" w:cs="Arial"/>
          <w:sz w:val="20"/>
        </w:rPr>
      </w:pPr>
      <w:r w:rsidRPr="008E4557">
        <w:rPr>
          <w:rFonts w:ascii="Arial" w:hAnsi="Arial" w:cs="Arial"/>
          <w:sz w:val="20"/>
        </w:rPr>
        <w:t>Models with capacity 8 kg and more: A and B</w:t>
      </w:r>
    </w:p>
    <w:p w14:paraId="493BA24B" w14:textId="77777777" w:rsidR="005911AD" w:rsidRDefault="005911AD" w:rsidP="00E86CBB">
      <w:pPr>
        <w:spacing w:after="0" w:line="300" w:lineRule="exact"/>
        <w:jc w:val="both"/>
        <w:rPr>
          <w:rFonts w:ascii="Arial" w:hAnsi="Arial" w:cs="Arial"/>
          <w:bCs/>
          <w:sz w:val="20"/>
        </w:rPr>
      </w:pPr>
    </w:p>
    <w:p w14:paraId="602324BA" w14:textId="02316B42" w:rsidR="00E86CBB" w:rsidRPr="00BF4D8B" w:rsidRDefault="00E86CBB" w:rsidP="00BF4D8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3F44EEC1" w14:textId="4E04F635" w:rsidR="00E86CBB" w:rsidRDefault="00E86CBB" w:rsidP="00E86CBB">
      <w:pPr>
        <w:spacing w:after="0" w:line="300" w:lineRule="exact"/>
        <w:jc w:val="both"/>
        <w:rPr>
          <w:rFonts w:ascii="Arial" w:hAnsi="Arial" w:cs="Arial"/>
          <w:snapToGrid w:val="0"/>
          <w:color w:val="000000"/>
          <w:sz w:val="20"/>
          <w:lang w:eastAsia="en-US"/>
        </w:rPr>
      </w:pPr>
      <w:r w:rsidRPr="0094762B">
        <w:rPr>
          <w:rFonts w:ascii="Arial" w:hAnsi="Arial" w:cs="Arial"/>
          <w:snapToGrid w:val="0"/>
          <w:color w:val="000000"/>
          <w:sz w:val="20"/>
          <w:lang w:eastAsia="en-US"/>
        </w:rPr>
        <w:t xml:space="preserve">Bidders must supply the energy label and technical data according to EU Regulations No. </w:t>
      </w:r>
      <w:r>
        <w:rPr>
          <w:rFonts w:ascii="Arial" w:hAnsi="Arial" w:cs="Arial"/>
          <w:snapToGrid w:val="0"/>
          <w:color w:val="000000"/>
          <w:sz w:val="20"/>
          <w:lang w:eastAsia="en-US"/>
        </w:rPr>
        <w:t>2019/20</w:t>
      </w:r>
      <w:r w:rsidR="00A66128">
        <w:rPr>
          <w:rFonts w:ascii="Arial" w:hAnsi="Arial" w:cs="Arial"/>
          <w:snapToGrid w:val="0"/>
          <w:color w:val="000000"/>
          <w:sz w:val="20"/>
          <w:lang w:eastAsia="en-US"/>
        </w:rPr>
        <w:t>14</w:t>
      </w:r>
      <w:r>
        <w:rPr>
          <w:rFonts w:ascii="Arial" w:hAnsi="Arial" w:cs="Arial"/>
          <w:snapToGrid w:val="0"/>
          <w:color w:val="000000"/>
          <w:sz w:val="20"/>
          <w:lang w:eastAsia="en-US"/>
        </w:rPr>
        <w:t xml:space="preserve"> </w:t>
      </w:r>
      <w:r w:rsidRPr="0094762B">
        <w:rPr>
          <w:rFonts w:ascii="Arial" w:hAnsi="Arial" w:cs="Arial"/>
          <w:snapToGrid w:val="0"/>
          <w:color w:val="000000"/>
          <w:sz w:val="20"/>
          <w:lang w:eastAsia="en-US"/>
        </w:rPr>
        <w:t xml:space="preserve">and No. </w:t>
      </w:r>
      <w:r>
        <w:rPr>
          <w:rFonts w:ascii="Arial" w:hAnsi="Arial" w:cs="Arial"/>
          <w:snapToGrid w:val="0"/>
          <w:color w:val="000000"/>
          <w:sz w:val="20"/>
          <w:lang w:eastAsia="en-US"/>
        </w:rPr>
        <w:t>2019/20</w:t>
      </w:r>
      <w:r w:rsidR="00A66128">
        <w:rPr>
          <w:rFonts w:ascii="Arial" w:hAnsi="Arial" w:cs="Arial"/>
          <w:snapToGrid w:val="0"/>
          <w:color w:val="000000"/>
          <w:sz w:val="20"/>
          <w:lang w:eastAsia="en-US"/>
        </w:rPr>
        <w:t>23</w:t>
      </w:r>
      <w:r w:rsidRPr="0094762B">
        <w:rPr>
          <w:rFonts w:ascii="Arial" w:hAnsi="Arial" w:cs="Arial"/>
          <w:snapToGrid w:val="0"/>
          <w:color w:val="000000"/>
          <w:sz w:val="20"/>
          <w:lang w:eastAsia="en-US"/>
        </w:rPr>
        <w:t>.</w:t>
      </w:r>
    </w:p>
    <w:p w14:paraId="11D42CB8" w14:textId="77777777" w:rsidR="00A66128" w:rsidRDefault="00A66128" w:rsidP="00A66128">
      <w:pPr>
        <w:spacing w:after="0" w:line="300" w:lineRule="exact"/>
        <w:jc w:val="both"/>
        <w:rPr>
          <w:rFonts w:ascii="Arial" w:hAnsi="Arial" w:cs="Arial"/>
          <w:snapToGrid w:val="0"/>
          <w:color w:val="000000"/>
          <w:sz w:val="20"/>
          <w:lang w:eastAsia="en-US"/>
        </w:rPr>
      </w:pPr>
    </w:p>
    <w:p w14:paraId="2CA434D7" w14:textId="32DEEC69" w:rsidR="00F33656" w:rsidRDefault="00F33656" w:rsidP="00A66128">
      <w:pPr>
        <w:spacing w:after="0" w:line="300" w:lineRule="exact"/>
        <w:jc w:val="both"/>
        <w:rPr>
          <w:rFonts w:ascii="Arial" w:hAnsi="Arial" w:cs="Arial"/>
          <w:snapToGrid w:val="0"/>
          <w:color w:val="000000"/>
          <w:sz w:val="20"/>
          <w:lang w:eastAsia="en-US"/>
        </w:rPr>
      </w:pPr>
      <w:r>
        <w:rPr>
          <w:rFonts w:ascii="Arial" w:hAnsi="Arial" w:cs="Arial"/>
          <w:snapToGrid w:val="0"/>
          <w:color w:val="000000"/>
          <w:sz w:val="20"/>
          <w:lang w:eastAsia="en-US"/>
        </w:rPr>
        <w:t>Furthermore, the bidder supplies information on the a</w:t>
      </w:r>
      <w:r w:rsidRPr="00F33656">
        <w:rPr>
          <w:rFonts w:ascii="Arial" w:hAnsi="Arial" w:cs="Arial"/>
          <w:snapToGrid w:val="0"/>
          <w:color w:val="000000"/>
          <w:sz w:val="20"/>
          <w:lang w:eastAsia="en-US"/>
        </w:rPr>
        <w:t>vailability of a water protection system (Aqua Stop, waterproof, water control system etc.)</w:t>
      </w:r>
    </w:p>
    <w:p w14:paraId="2D205030" w14:textId="507168C3" w:rsidR="001773FE" w:rsidRDefault="001773FE">
      <w:pPr>
        <w:spacing w:after="0"/>
        <w:rPr>
          <w:rFonts w:ascii="Arial" w:hAnsi="Arial" w:cs="Arial"/>
          <w:snapToGrid w:val="0"/>
          <w:color w:val="000000"/>
          <w:sz w:val="20"/>
          <w:lang w:eastAsia="en-US"/>
        </w:rPr>
      </w:pPr>
      <w:r>
        <w:rPr>
          <w:rFonts w:ascii="Arial" w:hAnsi="Arial" w:cs="Arial"/>
          <w:snapToGrid w:val="0"/>
          <w:color w:val="000000"/>
          <w:sz w:val="20"/>
          <w:lang w:eastAsia="en-US"/>
        </w:rPr>
        <w:br w:type="page"/>
      </w:r>
    </w:p>
    <w:p w14:paraId="0B6830A9" w14:textId="77777777" w:rsidR="001773FE" w:rsidRDefault="001773FE" w:rsidP="001773FE">
      <w:pPr>
        <w:spacing w:after="0" w:line="300" w:lineRule="exact"/>
        <w:jc w:val="both"/>
        <w:rPr>
          <w:rFonts w:ascii="Arial" w:hAnsi="Arial" w:cs="Arial"/>
          <w:sz w:val="20"/>
        </w:rPr>
      </w:pPr>
    </w:p>
    <w:p w14:paraId="371F7094" w14:textId="5CB68103" w:rsidR="001773FE" w:rsidRDefault="00EB3149" w:rsidP="001773FE">
      <w:pPr>
        <w:spacing w:after="240" w:line="300" w:lineRule="exact"/>
        <w:rPr>
          <w:rFonts w:ascii="Arial" w:hAnsi="Arial" w:cs="Arial"/>
          <w:smallCaps/>
          <w:szCs w:val="24"/>
          <w:u w:val="single"/>
        </w:rPr>
      </w:pPr>
      <w:r>
        <w:rPr>
          <w:noProof/>
        </w:rPr>
        <mc:AlternateContent>
          <mc:Choice Requires="wps">
            <w:drawing>
              <wp:anchor distT="0" distB="0" distL="114300" distR="114300" simplePos="0" relativeHeight="251670016" behindDoc="0" locked="0" layoutInCell="1" allowOverlap="1" wp14:anchorId="0E5B4462" wp14:editId="0CEA7F8D">
                <wp:simplePos x="0" y="0"/>
                <wp:positionH relativeFrom="margin">
                  <wp:posOffset>662940</wp:posOffset>
                </wp:positionH>
                <wp:positionV relativeFrom="paragraph">
                  <wp:posOffset>250273</wp:posOffset>
                </wp:positionV>
                <wp:extent cx="4405630" cy="24574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4405630" cy="245745"/>
                        </a:xfrm>
                        <a:prstGeom prst="rect">
                          <a:avLst/>
                        </a:prstGeom>
                        <a:solidFill>
                          <a:prstClr val="white"/>
                        </a:solidFill>
                        <a:ln>
                          <a:noFill/>
                        </a:ln>
                      </wps:spPr>
                      <wps:txbx>
                        <w:txbxContent>
                          <w:p w14:paraId="766C366D" w14:textId="7E3C33DD" w:rsidR="00B8577A" w:rsidRPr="000E13D4" w:rsidRDefault="00B8577A" w:rsidP="00D97A10">
                            <w:pPr>
                              <w:pStyle w:val="Caption"/>
                              <w:jc w:val="center"/>
                              <w:rPr>
                                <w:rFonts w:ascii="Times New Roman" w:hAnsi="Times New Roman"/>
                                <w:noProof/>
                                <w:sz w:val="24"/>
                              </w:rPr>
                            </w:pPr>
                            <w:r>
                              <w:t xml:space="preserve">Table </w:t>
                            </w:r>
                            <w:r>
                              <w:fldChar w:fldCharType="begin"/>
                            </w:r>
                            <w:r>
                              <w:instrText xml:space="preserve"> SEQ Table \* ARABIC </w:instrText>
                            </w:r>
                            <w:r>
                              <w:fldChar w:fldCharType="separate"/>
                            </w:r>
                            <w:r w:rsidR="00902160">
                              <w:rPr>
                                <w:noProof/>
                              </w:rPr>
                              <w:t>1</w:t>
                            </w:r>
                            <w:r>
                              <w:fldChar w:fldCharType="end"/>
                            </w:r>
                            <w:r>
                              <w:t>: Overview of energy classes allowed on the European market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B4462" id="_x0000_t202" coordsize="21600,21600" o:spt="202" path="m,l,21600r21600,l21600,xe">
                <v:stroke joinstyle="miter"/>
                <v:path gradientshapeok="t" o:connecttype="rect"/>
              </v:shapetype>
              <v:shape id="Text Box 1" o:spid="_x0000_s1026" type="#_x0000_t202" style="position:absolute;margin-left:52.2pt;margin-top:19.7pt;width:346.9pt;height:19.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" stroked="f">
                <v:textbox inset="0,0,0,0">
                  <w:txbxContent>
                    <w:p w14:paraId="766C366D" w14:textId="7E3C33DD" w:rsidR="00B8577A" w:rsidRPr="000E13D4" w:rsidRDefault="00B8577A" w:rsidP="00D97A10">
                      <w:pPr>
                        <w:pStyle w:val="Caption"/>
                        <w:jc w:val="center"/>
                        <w:rPr>
                          <w:rFonts w:ascii="Times New Roman" w:hAnsi="Times New Roman"/>
                          <w:noProof/>
                          <w:sz w:val="24"/>
                        </w:rPr>
                      </w:pPr>
                      <w:r>
                        <w:t xml:space="preserve">Table </w:t>
                      </w:r>
                      <w:r>
                        <w:fldChar w:fldCharType="begin"/>
                      </w:r>
                      <w:r>
                        <w:instrText xml:space="preserve"> SEQ Table \* ARABIC </w:instrText>
                      </w:r>
                      <w:r>
                        <w:fldChar w:fldCharType="separate"/>
                      </w:r>
                      <w:r w:rsidR="00902160">
                        <w:rPr>
                          <w:noProof/>
                        </w:rPr>
                        <w:t>1</w:t>
                      </w:r>
                      <w:r>
                        <w:fldChar w:fldCharType="end"/>
                      </w:r>
                      <w:r>
                        <w:t>: Overview of energy classes allowed on the European market</w:t>
                      </w:r>
                    </w:p>
                  </w:txbxContent>
                </v:textbox>
                <w10:wrap type="square" anchorx="margin"/>
              </v:shape>
            </w:pict>
          </mc:Fallback>
        </mc:AlternateContent>
      </w:r>
      <w:r w:rsidR="001773FE" w:rsidRPr="00B67515">
        <w:rPr>
          <w:rFonts w:ascii="Arial" w:hAnsi="Arial" w:cs="Arial"/>
          <w:smallCaps/>
          <w:szCs w:val="24"/>
          <w:u w:val="single"/>
        </w:rPr>
        <w:t>Notes on Implementation</w:t>
      </w:r>
    </w:p>
    <w:p w14:paraId="1A8F0129" w14:textId="77777777" w:rsidR="001773FE" w:rsidRPr="00B67515" w:rsidRDefault="001773FE" w:rsidP="001773FE">
      <w:pPr>
        <w:spacing w:after="240" w:line="300" w:lineRule="exact"/>
        <w:rPr>
          <w:rFonts w:ascii="Arial" w:hAnsi="Arial" w:cs="Arial"/>
          <w:smallCaps/>
          <w:szCs w:val="24"/>
          <w:u w:val="single"/>
        </w:rPr>
      </w:pPr>
    </w:p>
    <w:tbl>
      <w:tblPr>
        <w:tblpPr w:leftFromText="141" w:rightFromText="141" w:vertAnchor="page" w:horzAnchor="margin" w:tblpY="2743"/>
        <w:tblW w:w="5000" w:type="pct"/>
        <w:tblCellMar>
          <w:left w:w="57" w:type="dxa"/>
          <w:right w:w="57" w:type="dxa"/>
        </w:tblCellMar>
        <w:tblLook w:val="04A0" w:firstRow="1" w:lastRow="0" w:firstColumn="1" w:lastColumn="0" w:noHBand="0" w:noVBand="1"/>
      </w:tblPr>
      <w:tblGrid>
        <w:gridCol w:w="3754"/>
        <w:gridCol w:w="2617"/>
        <w:gridCol w:w="2635"/>
      </w:tblGrid>
      <w:tr w:rsidR="000B3DCB" w14:paraId="5C9CA838" w14:textId="77777777" w:rsidTr="00F20FEA">
        <w:trPr>
          <w:trHeight w:val="1040"/>
        </w:trPr>
        <w:tc>
          <w:tcPr>
            <w:tcW w:w="2084" w:type="pct"/>
            <w:vMerge w:val="restart"/>
            <w:tcBorders>
              <w:top w:val="single" w:sz="8" w:space="0" w:color="auto"/>
              <w:left w:val="single" w:sz="8" w:space="0" w:color="auto"/>
              <w:right w:val="single" w:sz="8" w:space="0" w:color="000000"/>
            </w:tcBorders>
            <w:shd w:val="clear" w:color="auto" w:fill="FFFFFF" w:themeFill="background1"/>
          </w:tcPr>
          <w:p w14:paraId="16390F65" w14:textId="77777777" w:rsidR="000B3DCB" w:rsidRDefault="000B3DCB" w:rsidP="00F20FEA">
            <w:pPr>
              <w:spacing w:after="0"/>
              <w:jc w:val="center"/>
              <w:rPr>
                <w:rFonts w:ascii="Arial" w:hAnsi="Arial" w:cs="Arial"/>
                <w:b/>
                <w:bCs/>
                <w:color w:val="000000"/>
                <w:sz w:val="20"/>
              </w:rPr>
            </w:pPr>
            <w:r>
              <w:rPr>
                <w:noProof/>
              </w:rPr>
              <w:drawing>
                <wp:inline distT="0" distB="0" distL="0" distR="0" wp14:anchorId="3DB543F5" wp14:editId="6DFCF2C8">
                  <wp:extent cx="2284293" cy="4490519"/>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4293" cy="4490519"/>
                          </a:xfrm>
                          <a:prstGeom prst="rect">
                            <a:avLst/>
                          </a:prstGeom>
                          <a:noFill/>
                          <a:ln>
                            <a:noFill/>
                          </a:ln>
                        </pic:spPr>
                      </pic:pic>
                    </a:graphicData>
                  </a:graphic>
                </wp:inline>
              </w:drawing>
            </w:r>
          </w:p>
        </w:tc>
        <w:tc>
          <w:tcPr>
            <w:tcW w:w="2916"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6105BC0" w14:textId="77777777" w:rsidR="000B3DCB" w:rsidRDefault="000B3DCB" w:rsidP="00F20FEA">
            <w:pPr>
              <w:spacing w:after="0"/>
              <w:jc w:val="center"/>
              <w:rPr>
                <w:rFonts w:ascii="Arial" w:hAnsi="Arial" w:cs="Arial"/>
                <w:b/>
                <w:bCs/>
                <w:color w:val="000000"/>
                <w:sz w:val="20"/>
                <w:lang w:val="de-DE" w:eastAsia="de-DE"/>
              </w:rPr>
            </w:pPr>
            <w:r>
              <w:rPr>
                <w:rFonts w:ascii="Arial" w:hAnsi="Arial" w:cs="Arial"/>
                <w:b/>
                <w:bCs/>
                <w:color w:val="000000"/>
                <w:sz w:val="20"/>
              </w:rPr>
              <w:t>Commission Delegated Regulation nº 2019/2014</w:t>
            </w:r>
          </w:p>
        </w:tc>
      </w:tr>
      <w:tr w:rsidR="000B3DCB" w14:paraId="59762213" w14:textId="77777777" w:rsidTr="00F20FEA">
        <w:trPr>
          <w:trHeight w:val="790"/>
        </w:trPr>
        <w:tc>
          <w:tcPr>
            <w:tcW w:w="2084" w:type="pct"/>
            <w:vMerge/>
            <w:tcBorders>
              <w:left w:val="single" w:sz="8" w:space="0" w:color="auto"/>
              <w:right w:val="single" w:sz="8" w:space="0" w:color="000000"/>
            </w:tcBorders>
            <w:shd w:val="clear" w:color="auto" w:fill="FFFFFF" w:themeFill="background1"/>
          </w:tcPr>
          <w:p w14:paraId="00EE5386" w14:textId="77777777" w:rsidR="000B3DCB" w:rsidRDefault="000B3DCB" w:rsidP="00F20FEA">
            <w:pPr>
              <w:jc w:val="center"/>
              <w:rPr>
                <w:rFonts w:ascii="Arial" w:hAnsi="Arial" w:cs="Arial"/>
                <w:b/>
                <w:bCs/>
                <w:color w:val="000000"/>
                <w:sz w:val="20"/>
              </w:rPr>
            </w:pPr>
          </w:p>
        </w:tc>
        <w:tc>
          <w:tcPr>
            <w:tcW w:w="1453" w:type="pct"/>
            <w:tcBorders>
              <w:top w:val="nil"/>
              <w:left w:val="single" w:sz="8" w:space="0" w:color="000000"/>
              <w:bottom w:val="single" w:sz="8" w:space="0" w:color="auto"/>
              <w:right w:val="single" w:sz="8" w:space="0" w:color="auto"/>
            </w:tcBorders>
            <w:shd w:val="clear" w:color="000000" w:fill="D9D9D9"/>
            <w:vAlign w:val="center"/>
            <w:hideMark/>
          </w:tcPr>
          <w:p w14:paraId="5206F3BA" w14:textId="77777777" w:rsidR="000B3DCB" w:rsidRDefault="000B3DCB" w:rsidP="00F20FEA">
            <w:pPr>
              <w:jc w:val="center"/>
              <w:rPr>
                <w:rFonts w:ascii="Arial" w:hAnsi="Arial" w:cs="Arial"/>
                <w:b/>
                <w:bCs/>
                <w:color w:val="000000"/>
                <w:sz w:val="20"/>
              </w:rPr>
            </w:pPr>
            <w:r>
              <w:rPr>
                <w:rFonts w:ascii="Arial" w:hAnsi="Arial" w:cs="Arial"/>
                <w:b/>
                <w:bCs/>
                <w:color w:val="000000"/>
                <w:sz w:val="20"/>
              </w:rPr>
              <w:t>Energy efficiency class</w:t>
            </w:r>
          </w:p>
        </w:tc>
        <w:tc>
          <w:tcPr>
            <w:tcW w:w="1463" w:type="pct"/>
            <w:tcBorders>
              <w:top w:val="nil"/>
              <w:left w:val="nil"/>
              <w:bottom w:val="single" w:sz="8" w:space="0" w:color="auto"/>
              <w:right w:val="single" w:sz="8" w:space="0" w:color="auto"/>
            </w:tcBorders>
            <w:shd w:val="clear" w:color="000000" w:fill="D9D9D9"/>
            <w:vAlign w:val="center"/>
            <w:hideMark/>
          </w:tcPr>
          <w:p w14:paraId="6FC0FB50" w14:textId="77777777" w:rsidR="000B3DCB" w:rsidRDefault="000B3DCB" w:rsidP="00F20FEA">
            <w:pPr>
              <w:jc w:val="center"/>
              <w:rPr>
                <w:rFonts w:ascii="Arial" w:hAnsi="Arial" w:cs="Arial"/>
                <w:b/>
                <w:bCs/>
                <w:color w:val="000000"/>
                <w:sz w:val="20"/>
              </w:rPr>
            </w:pPr>
            <w:r>
              <w:rPr>
                <w:rFonts w:ascii="Arial" w:hAnsi="Arial" w:cs="Arial"/>
                <w:b/>
                <w:bCs/>
                <w:color w:val="000000"/>
                <w:sz w:val="20"/>
              </w:rPr>
              <w:t>Energy efficiency index</w:t>
            </w:r>
          </w:p>
        </w:tc>
      </w:tr>
      <w:tr w:rsidR="000B3DCB" w14:paraId="3DF7B43C" w14:textId="77777777" w:rsidTr="00F20FEA">
        <w:trPr>
          <w:trHeight w:val="652"/>
        </w:trPr>
        <w:tc>
          <w:tcPr>
            <w:tcW w:w="2084" w:type="pct"/>
            <w:vMerge/>
            <w:tcBorders>
              <w:left w:val="single" w:sz="8" w:space="0" w:color="auto"/>
              <w:right w:val="single" w:sz="8" w:space="0" w:color="000000"/>
            </w:tcBorders>
            <w:shd w:val="clear" w:color="auto" w:fill="FFFFFF" w:themeFill="background1"/>
          </w:tcPr>
          <w:p w14:paraId="2406100A" w14:textId="77777777" w:rsidR="000B3DCB" w:rsidRDefault="000B3DCB" w:rsidP="00F20FEA">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17A22102" w14:textId="77777777" w:rsidR="000B3DCB" w:rsidRDefault="000B3DCB" w:rsidP="00F20FEA">
            <w:pPr>
              <w:jc w:val="center"/>
              <w:rPr>
                <w:rFonts w:ascii="Arial" w:hAnsi="Arial" w:cs="Arial"/>
                <w:color w:val="000000"/>
                <w:sz w:val="20"/>
              </w:rPr>
            </w:pPr>
            <w:r>
              <w:rPr>
                <w:rFonts w:ascii="Arial" w:hAnsi="Arial" w:cs="Arial"/>
                <w:color w:val="000000"/>
                <w:sz w:val="20"/>
              </w:rPr>
              <w:t>A</w:t>
            </w:r>
          </w:p>
        </w:tc>
        <w:tc>
          <w:tcPr>
            <w:tcW w:w="1463" w:type="pct"/>
            <w:tcBorders>
              <w:top w:val="nil"/>
              <w:left w:val="nil"/>
              <w:bottom w:val="single" w:sz="8" w:space="0" w:color="auto"/>
              <w:right w:val="single" w:sz="8" w:space="0" w:color="auto"/>
            </w:tcBorders>
            <w:shd w:val="clear" w:color="auto" w:fill="auto"/>
            <w:vAlign w:val="center"/>
            <w:hideMark/>
          </w:tcPr>
          <w:p w14:paraId="41D9073E" w14:textId="77777777" w:rsidR="000B3DCB" w:rsidRDefault="000B3DCB" w:rsidP="00F20FEA">
            <w:pPr>
              <w:jc w:val="center"/>
              <w:rPr>
                <w:rFonts w:ascii="Arial" w:hAnsi="Arial" w:cs="Arial"/>
                <w:color w:val="000000"/>
                <w:sz w:val="20"/>
              </w:rPr>
            </w:pPr>
            <w:r>
              <w:rPr>
                <w:rFonts w:ascii="Arial" w:hAnsi="Arial" w:cs="Arial"/>
                <w:color w:val="000000"/>
                <w:sz w:val="20"/>
              </w:rPr>
              <w:t>EEI ≤ 52</w:t>
            </w:r>
          </w:p>
        </w:tc>
      </w:tr>
      <w:tr w:rsidR="000B3DCB" w14:paraId="600F939C" w14:textId="77777777" w:rsidTr="00F20FEA">
        <w:trPr>
          <w:trHeight w:val="652"/>
        </w:trPr>
        <w:tc>
          <w:tcPr>
            <w:tcW w:w="2084" w:type="pct"/>
            <w:vMerge/>
            <w:tcBorders>
              <w:left w:val="single" w:sz="8" w:space="0" w:color="auto"/>
              <w:right w:val="single" w:sz="8" w:space="0" w:color="000000"/>
            </w:tcBorders>
            <w:shd w:val="clear" w:color="auto" w:fill="FFFFFF" w:themeFill="background1"/>
          </w:tcPr>
          <w:p w14:paraId="62CA2C0D" w14:textId="77777777" w:rsidR="000B3DCB" w:rsidRDefault="000B3DCB" w:rsidP="00F20FEA">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0108C8CA" w14:textId="77777777" w:rsidR="000B3DCB" w:rsidRDefault="000B3DCB" w:rsidP="00F20FEA">
            <w:pPr>
              <w:jc w:val="center"/>
              <w:rPr>
                <w:rFonts w:ascii="Arial" w:hAnsi="Arial" w:cs="Arial"/>
                <w:color w:val="000000"/>
                <w:sz w:val="20"/>
              </w:rPr>
            </w:pPr>
            <w:r>
              <w:rPr>
                <w:rFonts w:ascii="Arial" w:hAnsi="Arial" w:cs="Arial"/>
                <w:color w:val="000000"/>
                <w:sz w:val="20"/>
              </w:rPr>
              <w:t>B</w:t>
            </w:r>
          </w:p>
        </w:tc>
        <w:tc>
          <w:tcPr>
            <w:tcW w:w="1463" w:type="pct"/>
            <w:tcBorders>
              <w:top w:val="nil"/>
              <w:left w:val="nil"/>
              <w:bottom w:val="single" w:sz="8" w:space="0" w:color="auto"/>
              <w:right w:val="single" w:sz="8" w:space="0" w:color="auto"/>
            </w:tcBorders>
            <w:shd w:val="clear" w:color="auto" w:fill="auto"/>
            <w:vAlign w:val="center"/>
            <w:hideMark/>
          </w:tcPr>
          <w:p w14:paraId="490BAD99" w14:textId="77777777" w:rsidR="000B3DCB" w:rsidRDefault="000B3DCB" w:rsidP="00F20FEA">
            <w:pPr>
              <w:jc w:val="center"/>
              <w:rPr>
                <w:rFonts w:ascii="Arial" w:hAnsi="Arial" w:cs="Arial"/>
                <w:color w:val="000000"/>
                <w:sz w:val="20"/>
              </w:rPr>
            </w:pPr>
            <w:r>
              <w:rPr>
                <w:rFonts w:ascii="Arial" w:hAnsi="Arial" w:cs="Arial"/>
                <w:color w:val="000000"/>
                <w:sz w:val="20"/>
              </w:rPr>
              <w:t>52 &lt; EEI ≤ 60</w:t>
            </w:r>
          </w:p>
        </w:tc>
      </w:tr>
      <w:tr w:rsidR="000B3DCB" w14:paraId="454DCDF2" w14:textId="77777777" w:rsidTr="00F20FEA">
        <w:trPr>
          <w:trHeight w:val="652"/>
        </w:trPr>
        <w:tc>
          <w:tcPr>
            <w:tcW w:w="2084" w:type="pct"/>
            <w:vMerge/>
            <w:tcBorders>
              <w:left w:val="single" w:sz="8" w:space="0" w:color="auto"/>
              <w:right w:val="single" w:sz="8" w:space="0" w:color="000000"/>
            </w:tcBorders>
            <w:shd w:val="clear" w:color="auto" w:fill="FFFFFF" w:themeFill="background1"/>
          </w:tcPr>
          <w:p w14:paraId="509EA27C" w14:textId="77777777" w:rsidR="000B3DCB" w:rsidRDefault="000B3DCB" w:rsidP="00F20FEA">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70CC4E94" w14:textId="77777777" w:rsidR="000B3DCB" w:rsidRDefault="000B3DCB" w:rsidP="00F20FEA">
            <w:pPr>
              <w:jc w:val="center"/>
              <w:rPr>
                <w:rFonts w:ascii="Arial" w:hAnsi="Arial" w:cs="Arial"/>
                <w:color w:val="000000"/>
                <w:sz w:val="20"/>
              </w:rPr>
            </w:pPr>
            <w:r>
              <w:rPr>
                <w:rFonts w:ascii="Arial" w:hAnsi="Arial" w:cs="Arial"/>
                <w:color w:val="000000"/>
                <w:sz w:val="20"/>
              </w:rPr>
              <w:t>C</w:t>
            </w:r>
          </w:p>
        </w:tc>
        <w:tc>
          <w:tcPr>
            <w:tcW w:w="1463" w:type="pct"/>
            <w:tcBorders>
              <w:top w:val="nil"/>
              <w:left w:val="nil"/>
              <w:bottom w:val="single" w:sz="8" w:space="0" w:color="auto"/>
              <w:right w:val="single" w:sz="8" w:space="0" w:color="auto"/>
            </w:tcBorders>
            <w:shd w:val="clear" w:color="auto" w:fill="auto"/>
            <w:vAlign w:val="center"/>
            <w:hideMark/>
          </w:tcPr>
          <w:p w14:paraId="68EF744E" w14:textId="77777777" w:rsidR="000B3DCB" w:rsidRDefault="000B3DCB" w:rsidP="00F20FEA">
            <w:pPr>
              <w:jc w:val="center"/>
              <w:rPr>
                <w:rFonts w:ascii="Arial" w:hAnsi="Arial" w:cs="Arial"/>
                <w:color w:val="000000"/>
                <w:sz w:val="20"/>
              </w:rPr>
            </w:pPr>
            <w:r>
              <w:rPr>
                <w:rFonts w:ascii="Arial" w:hAnsi="Arial" w:cs="Arial"/>
                <w:color w:val="000000"/>
                <w:sz w:val="20"/>
              </w:rPr>
              <w:t>60 &lt; EEI ≤ 69</w:t>
            </w:r>
          </w:p>
        </w:tc>
      </w:tr>
      <w:tr w:rsidR="000B3DCB" w14:paraId="045850E5" w14:textId="77777777" w:rsidTr="00F20FEA">
        <w:trPr>
          <w:trHeight w:val="652"/>
        </w:trPr>
        <w:tc>
          <w:tcPr>
            <w:tcW w:w="2084" w:type="pct"/>
            <w:vMerge/>
            <w:tcBorders>
              <w:left w:val="single" w:sz="8" w:space="0" w:color="auto"/>
              <w:right w:val="single" w:sz="8" w:space="0" w:color="000000"/>
            </w:tcBorders>
            <w:shd w:val="clear" w:color="auto" w:fill="FFFFFF" w:themeFill="background1"/>
          </w:tcPr>
          <w:p w14:paraId="54E28F2F" w14:textId="77777777" w:rsidR="000B3DCB" w:rsidRDefault="000B3DCB" w:rsidP="00F20FEA">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129BE8DA" w14:textId="77777777" w:rsidR="000B3DCB" w:rsidRDefault="000B3DCB" w:rsidP="00F20FEA">
            <w:pPr>
              <w:jc w:val="center"/>
              <w:rPr>
                <w:rFonts w:ascii="Arial" w:hAnsi="Arial" w:cs="Arial"/>
                <w:color w:val="000000"/>
                <w:sz w:val="20"/>
              </w:rPr>
            </w:pPr>
            <w:r>
              <w:rPr>
                <w:rFonts w:ascii="Arial" w:hAnsi="Arial" w:cs="Arial"/>
                <w:color w:val="000000"/>
                <w:sz w:val="20"/>
              </w:rPr>
              <w:t>D</w:t>
            </w:r>
          </w:p>
        </w:tc>
        <w:tc>
          <w:tcPr>
            <w:tcW w:w="1463" w:type="pct"/>
            <w:tcBorders>
              <w:top w:val="nil"/>
              <w:left w:val="nil"/>
              <w:bottom w:val="single" w:sz="8" w:space="0" w:color="auto"/>
              <w:right w:val="single" w:sz="8" w:space="0" w:color="auto"/>
            </w:tcBorders>
            <w:shd w:val="clear" w:color="auto" w:fill="auto"/>
            <w:vAlign w:val="center"/>
            <w:hideMark/>
          </w:tcPr>
          <w:p w14:paraId="0240A075" w14:textId="77777777" w:rsidR="000B3DCB" w:rsidRDefault="000B3DCB" w:rsidP="00F20FEA">
            <w:pPr>
              <w:jc w:val="center"/>
              <w:rPr>
                <w:rFonts w:ascii="Arial" w:hAnsi="Arial" w:cs="Arial"/>
                <w:color w:val="000000"/>
                <w:sz w:val="20"/>
              </w:rPr>
            </w:pPr>
            <w:r>
              <w:rPr>
                <w:rFonts w:ascii="Arial" w:hAnsi="Arial" w:cs="Arial"/>
                <w:color w:val="000000"/>
                <w:sz w:val="20"/>
              </w:rPr>
              <w:t>69 &lt; EEI ≤ 80</w:t>
            </w:r>
          </w:p>
        </w:tc>
      </w:tr>
      <w:tr w:rsidR="000B3DCB" w14:paraId="1A03FC41" w14:textId="77777777" w:rsidTr="00F20FEA">
        <w:trPr>
          <w:trHeight w:val="652"/>
        </w:trPr>
        <w:tc>
          <w:tcPr>
            <w:tcW w:w="2084" w:type="pct"/>
            <w:vMerge/>
            <w:tcBorders>
              <w:left w:val="single" w:sz="8" w:space="0" w:color="auto"/>
              <w:right w:val="single" w:sz="8" w:space="0" w:color="000000"/>
            </w:tcBorders>
            <w:shd w:val="clear" w:color="auto" w:fill="FFFFFF" w:themeFill="background1"/>
          </w:tcPr>
          <w:p w14:paraId="4B2410FF" w14:textId="77777777" w:rsidR="000B3DCB" w:rsidRDefault="000B3DCB" w:rsidP="00F20FEA">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41ACF320" w14:textId="77777777" w:rsidR="000B3DCB" w:rsidRDefault="000B3DCB" w:rsidP="00F20FEA">
            <w:pPr>
              <w:jc w:val="center"/>
              <w:rPr>
                <w:rFonts w:ascii="Arial" w:hAnsi="Arial" w:cs="Arial"/>
                <w:color w:val="000000"/>
                <w:sz w:val="20"/>
              </w:rPr>
            </w:pPr>
            <w:r>
              <w:rPr>
                <w:rFonts w:ascii="Arial" w:hAnsi="Arial" w:cs="Arial"/>
                <w:color w:val="000000"/>
                <w:sz w:val="20"/>
              </w:rPr>
              <w:t>E</w:t>
            </w:r>
          </w:p>
        </w:tc>
        <w:tc>
          <w:tcPr>
            <w:tcW w:w="1463" w:type="pct"/>
            <w:tcBorders>
              <w:top w:val="nil"/>
              <w:left w:val="nil"/>
              <w:bottom w:val="single" w:sz="8" w:space="0" w:color="auto"/>
              <w:right w:val="single" w:sz="8" w:space="0" w:color="auto"/>
            </w:tcBorders>
            <w:shd w:val="clear" w:color="auto" w:fill="auto"/>
            <w:vAlign w:val="center"/>
            <w:hideMark/>
          </w:tcPr>
          <w:p w14:paraId="22F7DDC8" w14:textId="77777777" w:rsidR="000B3DCB" w:rsidRDefault="000B3DCB" w:rsidP="00F20FEA">
            <w:pPr>
              <w:jc w:val="center"/>
              <w:rPr>
                <w:rFonts w:ascii="Arial" w:hAnsi="Arial" w:cs="Arial"/>
                <w:color w:val="000000"/>
                <w:sz w:val="20"/>
              </w:rPr>
            </w:pPr>
            <w:r>
              <w:rPr>
                <w:rFonts w:ascii="Arial" w:hAnsi="Arial" w:cs="Arial"/>
                <w:color w:val="000000"/>
                <w:sz w:val="20"/>
              </w:rPr>
              <w:t>80 &lt; EEI ≤ 91</w:t>
            </w:r>
          </w:p>
        </w:tc>
      </w:tr>
      <w:tr w:rsidR="000B3DCB" w14:paraId="50200982" w14:textId="77777777" w:rsidTr="00F20FEA">
        <w:trPr>
          <w:trHeight w:val="652"/>
        </w:trPr>
        <w:tc>
          <w:tcPr>
            <w:tcW w:w="2084" w:type="pct"/>
            <w:vMerge/>
            <w:tcBorders>
              <w:left w:val="single" w:sz="8" w:space="0" w:color="auto"/>
              <w:right w:val="single" w:sz="8" w:space="0" w:color="000000"/>
            </w:tcBorders>
            <w:shd w:val="clear" w:color="auto" w:fill="FFFFFF" w:themeFill="background1"/>
          </w:tcPr>
          <w:p w14:paraId="25F0FEBD" w14:textId="77777777" w:rsidR="000B3DCB" w:rsidRDefault="000B3DCB" w:rsidP="00F20FEA">
            <w:pPr>
              <w:jc w:val="center"/>
              <w:rPr>
                <w:rFonts w:ascii="Arial" w:hAnsi="Arial" w:cs="Arial"/>
                <w:color w:val="000000"/>
                <w:sz w:val="20"/>
              </w:rPr>
            </w:pPr>
          </w:p>
        </w:tc>
        <w:tc>
          <w:tcPr>
            <w:tcW w:w="1453" w:type="pct"/>
            <w:tcBorders>
              <w:top w:val="nil"/>
              <w:left w:val="single" w:sz="8" w:space="0" w:color="000000"/>
              <w:bottom w:val="single" w:sz="8" w:space="0" w:color="auto"/>
              <w:right w:val="single" w:sz="8" w:space="0" w:color="auto"/>
            </w:tcBorders>
            <w:shd w:val="clear" w:color="auto" w:fill="auto"/>
            <w:vAlign w:val="center"/>
            <w:hideMark/>
          </w:tcPr>
          <w:p w14:paraId="29696A2F" w14:textId="77777777" w:rsidR="000B3DCB" w:rsidRDefault="000B3DCB" w:rsidP="00F20FEA">
            <w:pPr>
              <w:jc w:val="center"/>
              <w:rPr>
                <w:rFonts w:ascii="Arial" w:hAnsi="Arial" w:cs="Arial"/>
                <w:color w:val="000000"/>
                <w:sz w:val="20"/>
              </w:rPr>
            </w:pPr>
            <w:r>
              <w:rPr>
                <w:rFonts w:ascii="Arial" w:hAnsi="Arial" w:cs="Arial"/>
                <w:color w:val="000000"/>
                <w:sz w:val="20"/>
              </w:rPr>
              <w:t>F</w:t>
            </w:r>
          </w:p>
        </w:tc>
        <w:tc>
          <w:tcPr>
            <w:tcW w:w="1463" w:type="pct"/>
            <w:tcBorders>
              <w:top w:val="nil"/>
              <w:left w:val="nil"/>
              <w:bottom w:val="single" w:sz="8" w:space="0" w:color="auto"/>
              <w:right w:val="single" w:sz="8" w:space="0" w:color="auto"/>
            </w:tcBorders>
            <w:shd w:val="clear" w:color="auto" w:fill="auto"/>
            <w:vAlign w:val="center"/>
            <w:hideMark/>
          </w:tcPr>
          <w:p w14:paraId="4C1B5887" w14:textId="77777777" w:rsidR="000B3DCB" w:rsidRDefault="000B3DCB" w:rsidP="00F20FEA">
            <w:pPr>
              <w:jc w:val="center"/>
              <w:rPr>
                <w:rFonts w:ascii="Arial" w:hAnsi="Arial" w:cs="Arial"/>
                <w:color w:val="000000"/>
                <w:sz w:val="20"/>
              </w:rPr>
            </w:pPr>
            <w:r>
              <w:rPr>
                <w:rFonts w:ascii="Arial" w:hAnsi="Arial" w:cs="Arial"/>
                <w:color w:val="000000"/>
                <w:sz w:val="20"/>
              </w:rPr>
              <w:t>91 &lt; EEI ≤ 102</w:t>
            </w:r>
          </w:p>
        </w:tc>
      </w:tr>
      <w:tr w:rsidR="000B3DCB" w14:paraId="02A7E59B" w14:textId="77777777" w:rsidTr="00F20FEA">
        <w:trPr>
          <w:trHeight w:val="652"/>
        </w:trPr>
        <w:tc>
          <w:tcPr>
            <w:tcW w:w="2084" w:type="pct"/>
            <w:vMerge/>
            <w:tcBorders>
              <w:left w:val="single" w:sz="8" w:space="0" w:color="auto"/>
              <w:right w:val="single" w:sz="8" w:space="0" w:color="000000"/>
            </w:tcBorders>
            <w:shd w:val="clear" w:color="auto" w:fill="FFFFFF" w:themeFill="background1"/>
          </w:tcPr>
          <w:p w14:paraId="7819B197" w14:textId="77777777" w:rsidR="000B3DCB" w:rsidRDefault="000B3DCB" w:rsidP="00F20FEA">
            <w:pPr>
              <w:jc w:val="center"/>
              <w:rPr>
                <w:rFonts w:ascii="Arial" w:hAnsi="Arial" w:cs="Arial"/>
                <w:color w:val="000000"/>
                <w:sz w:val="20"/>
              </w:rPr>
            </w:pPr>
          </w:p>
        </w:tc>
        <w:tc>
          <w:tcPr>
            <w:tcW w:w="1453" w:type="pct"/>
            <w:tcBorders>
              <w:top w:val="nil"/>
              <w:left w:val="single" w:sz="8" w:space="0" w:color="000000"/>
              <w:bottom w:val="single" w:sz="4" w:space="0" w:color="auto"/>
              <w:right w:val="single" w:sz="8" w:space="0" w:color="auto"/>
            </w:tcBorders>
            <w:shd w:val="clear" w:color="auto" w:fill="auto"/>
            <w:vAlign w:val="center"/>
            <w:hideMark/>
          </w:tcPr>
          <w:p w14:paraId="0CBEE73E" w14:textId="77777777" w:rsidR="000B3DCB" w:rsidRDefault="000B3DCB" w:rsidP="00F20FEA">
            <w:pPr>
              <w:jc w:val="center"/>
              <w:rPr>
                <w:rFonts w:ascii="Arial" w:hAnsi="Arial" w:cs="Arial"/>
                <w:color w:val="000000"/>
                <w:sz w:val="20"/>
              </w:rPr>
            </w:pPr>
            <w:r>
              <w:rPr>
                <w:rFonts w:ascii="Arial" w:hAnsi="Arial" w:cs="Arial"/>
                <w:color w:val="000000"/>
                <w:sz w:val="20"/>
              </w:rPr>
              <w:t>G</w:t>
            </w:r>
          </w:p>
        </w:tc>
        <w:tc>
          <w:tcPr>
            <w:tcW w:w="1463" w:type="pct"/>
            <w:tcBorders>
              <w:top w:val="nil"/>
              <w:left w:val="nil"/>
              <w:bottom w:val="single" w:sz="4" w:space="0" w:color="auto"/>
              <w:right w:val="single" w:sz="8" w:space="0" w:color="auto"/>
            </w:tcBorders>
            <w:shd w:val="clear" w:color="auto" w:fill="auto"/>
            <w:vAlign w:val="center"/>
            <w:hideMark/>
          </w:tcPr>
          <w:p w14:paraId="12B9F2E5" w14:textId="77777777" w:rsidR="000B3DCB" w:rsidRDefault="000B3DCB" w:rsidP="00F20FEA">
            <w:pPr>
              <w:jc w:val="center"/>
              <w:rPr>
                <w:rFonts w:ascii="Arial" w:hAnsi="Arial" w:cs="Arial"/>
                <w:color w:val="000000"/>
                <w:sz w:val="20"/>
              </w:rPr>
            </w:pPr>
            <w:r>
              <w:rPr>
                <w:rFonts w:ascii="Arial" w:hAnsi="Arial" w:cs="Arial"/>
                <w:color w:val="000000"/>
                <w:sz w:val="20"/>
              </w:rPr>
              <w:t>EEI &gt; 102</w:t>
            </w:r>
          </w:p>
        </w:tc>
      </w:tr>
      <w:tr w:rsidR="000B3DCB" w14:paraId="70C481D2" w14:textId="77777777" w:rsidTr="00F20FEA">
        <w:trPr>
          <w:trHeight w:val="310"/>
        </w:trPr>
        <w:tc>
          <w:tcPr>
            <w:tcW w:w="2084" w:type="pct"/>
            <w:vMerge/>
            <w:tcBorders>
              <w:left w:val="single" w:sz="8" w:space="0" w:color="auto"/>
              <w:bottom w:val="nil"/>
              <w:right w:val="single" w:sz="4" w:space="0" w:color="auto"/>
            </w:tcBorders>
            <w:shd w:val="clear" w:color="auto" w:fill="FFFFFF" w:themeFill="background1"/>
          </w:tcPr>
          <w:p w14:paraId="7E201770" w14:textId="77777777" w:rsidR="000B3DCB" w:rsidRPr="00DA7D9F" w:rsidRDefault="000B3DCB" w:rsidP="00F20FEA">
            <w:pPr>
              <w:jc w:val="center"/>
              <w:rPr>
                <w:rFonts w:ascii="Arial" w:hAnsi="Arial" w:cs="Arial"/>
                <w:color w:val="000000"/>
                <w:sz w:val="2"/>
                <w:szCs w:val="2"/>
              </w:rPr>
            </w:pPr>
          </w:p>
        </w:tc>
        <w:tc>
          <w:tcPr>
            <w:tcW w:w="29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0235E" w14:textId="77777777" w:rsidR="000B3DCB" w:rsidRPr="00DA7D9F" w:rsidRDefault="000B3DCB" w:rsidP="00F20FEA">
            <w:pPr>
              <w:jc w:val="center"/>
              <w:rPr>
                <w:rFonts w:ascii="Arial" w:hAnsi="Arial" w:cs="Arial"/>
                <w:color w:val="000000"/>
                <w:sz w:val="2"/>
                <w:szCs w:val="2"/>
              </w:rPr>
            </w:pPr>
          </w:p>
          <w:p w14:paraId="41C9AB7C" w14:textId="77777777" w:rsidR="000B3DCB" w:rsidRPr="00DA7D9F" w:rsidRDefault="000B3DCB" w:rsidP="00F20FEA">
            <w:pPr>
              <w:jc w:val="center"/>
              <w:rPr>
                <w:sz w:val="18"/>
                <w:szCs w:val="18"/>
              </w:rPr>
            </w:pPr>
            <w:r w:rsidRPr="00DA7D9F">
              <w:rPr>
                <w:rFonts w:ascii="Arial" w:hAnsi="Arial" w:cs="Arial"/>
                <w:color w:val="000000"/>
                <w:sz w:val="18"/>
                <w:szCs w:val="18"/>
              </w:rPr>
              <w:t>Note: The lower the value, the better the efficiency of the device</w:t>
            </w:r>
          </w:p>
        </w:tc>
      </w:tr>
    </w:tbl>
    <w:p w14:paraId="5D488B5E" w14:textId="4E8869E3" w:rsidR="0028123F" w:rsidRDefault="0028123F" w:rsidP="0028123F">
      <w:pPr>
        <w:spacing w:line="300" w:lineRule="exact"/>
        <w:jc w:val="both"/>
        <w:rPr>
          <w:rFonts w:ascii="Arial" w:hAnsi="Arial" w:cs="Arial"/>
          <w:sz w:val="20"/>
        </w:rPr>
      </w:pPr>
    </w:p>
    <w:p w14:paraId="625303AD" w14:textId="664055A8" w:rsidR="006E6D8B" w:rsidRDefault="006E6D8B" w:rsidP="0028123F">
      <w:pPr>
        <w:spacing w:line="300" w:lineRule="exact"/>
        <w:jc w:val="both"/>
        <w:rPr>
          <w:rFonts w:ascii="Arial" w:hAnsi="Arial" w:cs="Arial"/>
          <w:sz w:val="20"/>
        </w:rPr>
      </w:pPr>
    </w:p>
    <w:p w14:paraId="4D22FA74" w14:textId="51EF079C" w:rsidR="000B3DCB" w:rsidRDefault="000B3DCB" w:rsidP="0028123F">
      <w:pPr>
        <w:spacing w:line="300" w:lineRule="exact"/>
        <w:jc w:val="both"/>
        <w:rPr>
          <w:rFonts w:ascii="Arial" w:hAnsi="Arial" w:cs="Arial"/>
          <w:sz w:val="20"/>
        </w:rPr>
      </w:pPr>
    </w:p>
    <w:p w14:paraId="5A03D2D9" w14:textId="5FBCAD3D" w:rsidR="000B3DCB" w:rsidRDefault="000B3DCB">
      <w:pPr>
        <w:spacing w:after="0"/>
        <w:rPr>
          <w:rFonts w:ascii="Arial" w:hAnsi="Arial" w:cs="Arial"/>
          <w:sz w:val="20"/>
        </w:rPr>
      </w:pPr>
      <w:r>
        <w:rPr>
          <w:rFonts w:ascii="Arial" w:hAnsi="Arial" w:cs="Arial"/>
          <w:sz w:val="20"/>
        </w:rPr>
        <w:br w:type="page"/>
      </w:r>
    </w:p>
    <w:p w14:paraId="644EF844" w14:textId="77777777" w:rsidR="000B3DCB" w:rsidRPr="00F82D38" w:rsidRDefault="000B3DCB" w:rsidP="0028123F">
      <w:pPr>
        <w:spacing w:line="300" w:lineRule="exact"/>
        <w:jc w:val="both"/>
        <w:rPr>
          <w:rFonts w:ascii="Arial" w:hAnsi="Arial" w:cs="Arial"/>
          <w:sz w:val="20"/>
        </w:rPr>
      </w:pPr>
    </w:p>
    <w:p w14:paraId="01D41F41" w14:textId="3B7170EA" w:rsidR="001F2B86" w:rsidRPr="00267A7F" w:rsidRDefault="0028123F" w:rsidP="00267A7F">
      <w:pPr>
        <w:spacing w:after="0" w:line="300" w:lineRule="exact"/>
        <w:jc w:val="both"/>
        <w:rPr>
          <w:rFonts w:ascii="Arial" w:hAnsi="Arial" w:cs="Arial"/>
          <w:b/>
          <w:sz w:val="18"/>
          <w:szCs w:val="18"/>
        </w:rPr>
      </w:pPr>
      <w:r>
        <w:rPr>
          <w:rFonts w:ascii="Arial" w:hAnsi="Arial" w:cs="Arial"/>
          <w:sz w:val="20"/>
        </w:rPr>
        <w:t>T</w:t>
      </w:r>
      <w:r w:rsidR="001F2B86" w:rsidRPr="00B67515">
        <w:rPr>
          <w:rFonts w:ascii="Arial" w:hAnsi="Arial" w:cs="Arial"/>
          <w:sz w:val="20"/>
        </w:rPr>
        <w:t xml:space="preserve">o increase savings and reduce environmental impact, procurers should evaluate life cycle costs when tendering for </w:t>
      </w:r>
      <w:r w:rsidR="000D45E0">
        <w:rPr>
          <w:rFonts w:ascii="Arial" w:hAnsi="Arial" w:cs="Arial"/>
          <w:sz w:val="20"/>
        </w:rPr>
        <w:t xml:space="preserve">household </w:t>
      </w:r>
      <w:r w:rsidR="007E23AE">
        <w:rPr>
          <w:rFonts w:ascii="Arial" w:hAnsi="Arial" w:cs="Arial"/>
          <w:sz w:val="20"/>
        </w:rPr>
        <w:t>washing machines</w:t>
      </w:r>
      <w:r w:rsidR="001F2B86" w:rsidRPr="00B67515">
        <w:rPr>
          <w:rFonts w:ascii="Arial" w:hAnsi="Arial" w:cs="Arial"/>
          <w:sz w:val="20"/>
        </w:rPr>
        <w:t>. Thus, it is advisable to include in the tender a costing exercise - even if simple - for the product life cycle costs.</w:t>
      </w:r>
    </w:p>
    <w:p w14:paraId="6B7E65E1" w14:textId="07086B72" w:rsidR="006230A3" w:rsidRPr="0084624B" w:rsidRDefault="006230A3" w:rsidP="00FA3054">
      <w:pPr>
        <w:pStyle w:val="Caption"/>
        <w:keepNext/>
        <w:jc w:val="center"/>
      </w:pPr>
      <w:r w:rsidRPr="0084624B">
        <w:t xml:space="preserve">Table </w:t>
      </w:r>
      <w:r w:rsidR="00BD0C3F">
        <w:t>2</w:t>
      </w:r>
      <w:r w:rsidRPr="0084624B">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6DD1E586" w14:textId="77777777" w:rsidR="006E6D8B" w:rsidRDefault="006E6D8B" w:rsidP="006E6D8B">
            <w:pPr>
              <w:spacing w:after="0" w:line="280" w:lineRule="exact"/>
              <w:rPr>
                <w:rFonts w:ascii="Arial" w:hAnsi="Arial" w:cs="Arial"/>
                <w:sz w:val="20"/>
              </w:rPr>
            </w:pPr>
            <w:r w:rsidRPr="005413AE">
              <w:rPr>
                <w:rFonts w:ascii="Arial" w:hAnsi="Arial" w:cs="Arial"/>
                <w:sz w:val="20"/>
              </w:rPr>
              <w:t>Annual energy consumption, in kWh/year</w:t>
            </w:r>
            <w:r>
              <w:rPr>
                <w:rFonts w:ascii="Arial" w:hAnsi="Arial" w:cs="Arial"/>
                <w:sz w:val="20"/>
              </w:rPr>
              <w:t>,</w:t>
            </w:r>
            <w:r w:rsidRPr="005413AE">
              <w:rPr>
                <w:rFonts w:ascii="Arial" w:hAnsi="Arial" w:cs="Arial"/>
                <w:sz w:val="20"/>
              </w:rPr>
              <w:t xml:space="preserve"> x nº units</w:t>
            </w:r>
          </w:p>
          <w:p w14:paraId="24046776" w14:textId="285F35A0" w:rsidR="005413AE" w:rsidRPr="00B67515" w:rsidRDefault="006E6D8B" w:rsidP="006E6D8B">
            <w:pPr>
              <w:spacing w:after="0" w:line="280" w:lineRule="exact"/>
              <w:rPr>
                <w:rFonts w:ascii="Arial" w:hAnsi="Arial" w:cs="Arial"/>
                <w:sz w:val="20"/>
              </w:rPr>
            </w:pPr>
            <w:r w:rsidRPr="005413AE">
              <w:rPr>
                <w:rFonts w:ascii="Arial" w:hAnsi="Arial" w:cs="Arial"/>
                <w:sz w:val="20"/>
              </w:rPr>
              <w:t>Annual water consumption, in l/year</w:t>
            </w:r>
            <w:r>
              <w:rPr>
                <w:rFonts w:ascii="Arial" w:hAnsi="Arial" w:cs="Arial"/>
                <w:sz w:val="20"/>
              </w:rPr>
              <w:t>,</w:t>
            </w:r>
            <w:r w:rsidRPr="005413AE">
              <w:rPr>
                <w:rFonts w:ascii="Arial" w:hAnsi="Arial" w:cs="Arial"/>
                <w:sz w:val="20"/>
              </w:rPr>
              <w:t xml:space="preserve"> x nº units</w:t>
            </w:r>
          </w:p>
        </w:tc>
        <w:tc>
          <w:tcPr>
            <w:tcW w:w="2665" w:type="dxa"/>
            <w:vAlign w:val="center"/>
          </w:tcPr>
          <w:p w14:paraId="0C7DE326" w14:textId="77777777" w:rsidR="006E6D8B" w:rsidRDefault="006E6D8B" w:rsidP="006E6D8B">
            <w:pPr>
              <w:spacing w:after="0" w:line="280" w:lineRule="exact"/>
              <w:jc w:val="center"/>
              <w:rPr>
                <w:rFonts w:ascii="Arial" w:hAnsi="Arial" w:cs="Arial"/>
                <w:sz w:val="20"/>
              </w:rPr>
            </w:pPr>
            <w:r>
              <w:rPr>
                <w:rFonts w:ascii="Arial" w:hAnsi="Arial" w:cs="Arial"/>
                <w:sz w:val="20"/>
              </w:rPr>
              <w:t>Electricity cost</w:t>
            </w:r>
            <w:r w:rsidRPr="00B67515">
              <w:rPr>
                <w:rFonts w:ascii="Arial" w:hAnsi="Arial" w:cs="Arial"/>
                <w:sz w:val="20"/>
              </w:rPr>
              <w:t>**: 0,</w:t>
            </w:r>
            <w:r>
              <w:rPr>
                <w:rFonts w:ascii="Arial" w:hAnsi="Arial" w:cs="Arial"/>
                <w:sz w:val="20"/>
              </w:rPr>
              <w:t>20 </w:t>
            </w:r>
            <w:r w:rsidRPr="00B67515">
              <w:rPr>
                <w:rFonts w:ascii="Arial" w:hAnsi="Arial" w:cs="Arial"/>
                <w:sz w:val="20"/>
              </w:rPr>
              <w:t>€/kWh</w:t>
            </w:r>
          </w:p>
          <w:p w14:paraId="5B995353" w14:textId="547FCEA4" w:rsidR="00DC4837" w:rsidRPr="00B67515" w:rsidRDefault="006E6D8B" w:rsidP="006E6D8B">
            <w:pPr>
              <w:spacing w:after="0" w:line="280" w:lineRule="exact"/>
              <w:jc w:val="center"/>
              <w:rPr>
                <w:rFonts w:ascii="Arial" w:hAnsi="Arial" w:cs="Arial"/>
                <w:sz w:val="20"/>
              </w:rPr>
            </w:pPr>
            <w:r>
              <w:rPr>
                <w:rFonts w:ascii="Arial" w:hAnsi="Arial" w:cs="Arial"/>
                <w:sz w:val="20"/>
              </w:rPr>
              <w:t>Water cost</w:t>
            </w:r>
            <w:r w:rsidRPr="00B67515">
              <w:rPr>
                <w:rFonts w:ascii="Arial" w:hAnsi="Arial" w:cs="Arial"/>
                <w:sz w:val="20"/>
              </w:rPr>
              <w:t>**</w:t>
            </w:r>
            <w:r>
              <w:rPr>
                <w:rFonts w:ascii="Arial" w:hAnsi="Arial" w:cs="Arial"/>
                <w:sz w:val="20"/>
              </w:rPr>
              <w:t>: 2,5 €/m</w:t>
            </w:r>
            <w:r w:rsidRPr="00DC4837">
              <w:rPr>
                <w:rFonts w:ascii="Arial" w:hAnsi="Arial" w:cs="Arial"/>
                <w:sz w:val="20"/>
                <w:vertAlign w:val="superscript"/>
              </w:rPr>
              <w:t>3</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7C8122D0" w14:textId="40899EE5" w:rsidR="006E6D8B" w:rsidRPr="00825133" w:rsidRDefault="006E6D8B" w:rsidP="006E6D8B">
      <w:pPr>
        <w:spacing w:before="120"/>
        <w:jc w:val="both"/>
        <w:rPr>
          <w:rFonts w:ascii="Arial" w:hAnsi="Arial" w:cs="Arial"/>
          <w:sz w:val="16"/>
          <w:szCs w:val="16"/>
          <w:lang w:val="en-US"/>
        </w:rPr>
      </w:pPr>
      <w:r w:rsidRPr="004B2A23">
        <w:rPr>
          <w:rFonts w:ascii="Arial" w:hAnsi="Arial" w:cs="Arial"/>
          <w:sz w:val="16"/>
          <w:szCs w:val="16"/>
          <w:lang w:val="en-US"/>
        </w:rPr>
        <w:t>* Example of how use costs can be determined. In the EU regulation the annual energy</w:t>
      </w:r>
      <w:r w:rsidR="0079339A">
        <w:rPr>
          <w:rFonts w:ascii="Arial" w:hAnsi="Arial" w:cs="Arial"/>
          <w:sz w:val="16"/>
          <w:szCs w:val="16"/>
          <w:lang w:val="en-US"/>
        </w:rPr>
        <w:t xml:space="preserve"> &amp; water</w:t>
      </w:r>
      <w:r w:rsidRPr="004B2A23">
        <w:rPr>
          <w:rFonts w:ascii="Arial" w:hAnsi="Arial" w:cs="Arial"/>
          <w:sz w:val="16"/>
          <w:szCs w:val="16"/>
          <w:lang w:val="en-US"/>
        </w:rPr>
        <w:t xml:space="preserve"> consumption calculation considers </w:t>
      </w:r>
      <w:r>
        <w:rPr>
          <w:rFonts w:ascii="Arial" w:hAnsi="Arial" w:cs="Arial"/>
          <w:sz w:val="16"/>
          <w:szCs w:val="16"/>
          <w:lang w:val="en-US"/>
        </w:rPr>
        <w:t>22</w:t>
      </w:r>
      <w:r w:rsidRPr="004B2A23">
        <w:rPr>
          <w:rFonts w:ascii="Arial" w:hAnsi="Arial" w:cs="Arial"/>
          <w:sz w:val="16"/>
          <w:szCs w:val="16"/>
          <w:lang w:val="en-US"/>
        </w:rPr>
        <w:t xml:space="preserve">0 </w:t>
      </w:r>
      <w:r>
        <w:rPr>
          <w:rFonts w:ascii="Arial" w:hAnsi="Arial" w:cs="Arial"/>
          <w:sz w:val="16"/>
          <w:szCs w:val="16"/>
          <w:lang w:val="en-US"/>
        </w:rPr>
        <w:t>washing</w:t>
      </w:r>
      <w:r w:rsidRPr="004B2A23">
        <w:rPr>
          <w:rFonts w:ascii="Arial" w:hAnsi="Arial" w:cs="Arial"/>
          <w:sz w:val="16"/>
          <w:szCs w:val="16"/>
          <w:lang w:val="en-US"/>
        </w:rPr>
        <w:t xml:space="preserve"> cycles</w:t>
      </w:r>
      <w:r w:rsidR="00176001">
        <w:rPr>
          <w:rFonts w:ascii="Arial" w:hAnsi="Arial" w:cs="Arial"/>
          <w:sz w:val="16"/>
          <w:szCs w:val="16"/>
          <w:lang w:val="en-US"/>
        </w:rPr>
        <w:t xml:space="preserve"> for a </w:t>
      </w:r>
      <w:r w:rsidR="00DD0FFA">
        <w:rPr>
          <w:rFonts w:ascii="Arial" w:hAnsi="Arial" w:cs="Arial"/>
          <w:sz w:val="16"/>
          <w:szCs w:val="16"/>
          <w:lang w:val="en-US"/>
        </w:rPr>
        <w:t>single-family</w:t>
      </w:r>
      <w:r w:rsidR="00176001">
        <w:rPr>
          <w:rFonts w:ascii="Arial" w:hAnsi="Arial" w:cs="Arial"/>
          <w:sz w:val="16"/>
          <w:szCs w:val="16"/>
          <w:lang w:val="en-US"/>
        </w:rPr>
        <w:t xml:space="preserve"> household.</w:t>
      </w:r>
    </w:p>
    <w:p w14:paraId="0121919C" w14:textId="77777777" w:rsidR="006E6D8B" w:rsidRDefault="006E6D8B" w:rsidP="006E6D8B">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0BEC2A7B" w14:textId="5CAEA1BA" w:rsidR="00351C95" w:rsidRDefault="00351C95" w:rsidP="007B3559">
      <w:pPr>
        <w:spacing w:after="0"/>
        <w:jc w:val="both"/>
        <w:rPr>
          <w:rFonts w:ascii="Arial" w:hAnsi="Arial" w:cs="Arial"/>
          <w:sz w:val="16"/>
          <w:szCs w:val="16"/>
          <w:lang w:val="en-US"/>
        </w:rPr>
      </w:pPr>
    </w:p>
    <w:p w14:paraId="327F4625" w14:textId="57B2D0A8" w:rsidR="00351C95" w:rsidRDefault="00351C95" w:rsidP="007B3559">
      <w:pPr>
        <w:spacing w:after="0"/>
        <w:jc w:val="both"/>
        <w:rPr>
          <w:rFonts w:ascii="Arial" w:hAnsi="Arial" w:cs="Arial"/>
          <w:sz w:val="16"/>
          <w:szCs w:val="16"/>
          <w:lang w:val="en-US"/>
        </w:rPr>
      </w:pPr>
    </w:p>
    <w:p w14:paraId="01FBA75C" w14:textId="020C2EC0" w:rsidR="00351C95" w:rsidRDefault="00351C95" w:rsidP="007B3559">
      <w:pPr>
        <w:spacing w:after="0"/>
        <w:jc w:val="both"/>
        <w:rPr>
          <w:rFonts w:ascii="Arial" w:hAnsi="Arial" w:cs="Arial"/>
          <w:sz w:val="16"/>
          <w:szCs w:val="16"/>
          <w:lang w:val="en-US"/>
        </w:rPr>
      </w:pP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8"/>
          <w:footerReference w:type="default" r:id="rId19"/>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0"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1"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3"/>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F01F6C" w:rsidRDefault="0038718D" w:rsidP="00A63506">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4"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F089" w14:textId="77777777" w:rsidR="00D937B6" w:rsidRDefault="00D937B6">
      <w:pPr>
        <w:spacing w:after="0"/>
      </w:pPr>
      <w:r>
        <w:separator/>
      </w:r>
    </w:p>
  </w:endnote>
  <w:endnote w:type="continuationSeparator" w:id="0">
    <w:p w14:paraId="5CD863F1" w14:textId="77777777" w:rsidR="00D937B6" w:rsidRDefault="00D93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0D6C" w14:textId="77777777" w:rsidR="00D937B6" w:rsidRDefault="00D937B6">
      <w:pPr>
        <w:spacing w:after="0"/>
      </w:pPr>
      <w:r>
        <w:separator/>
      </w:r>
    </w:p>
  </w:footnote>
  <w:footnote w:type="continuationSeparator" w:id="0">
    <w:p w14:paraId="1E7D2BC3" w14:textId="77777777" w:rsidR="00D937B6" w:rsidRDefault="00D937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D937B6">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C1B"/>
    <w:multiLevelType w:val="multilevel"/>
    <w:tmpl w:val="4D08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00368"/>
    <w:multiLevelType w:val="hybridMultilevel"/>
    <w:tmpl w:val="ADEE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4"/>
  </w:num>
  <w:num w:numId="2">
    <w:abstractNumId w:val="14"/>
  </w:num>
  <w:num w:numId="3">
    <w:abstractNumId w:val="14"/>
  </w:num>
  <w:num w:numId="4">
    <w:abstractNumId w:val="14"/>
  </w:num>
  <w:num w:numId="5">
    <w:abstractNumId w:val="1"/>
  </w:num>
  <w:num w:numId="6">
    <w:abstractNumId w:val="16"/>
  </w:num>
  <w:num w:numId="7">
    <w:abstractNumId w:val="3"/>
  </w:num>
  <w:num w:numId="8">
    <w:abstractNumId w:val="0"/>
  </w:num>
  <w:num w:numId="9">
    <w:abstractNumId w:val="15"/>
  </w:num>
  <w:num w:numId="10">
    <w:abstractNumId w:val="2"/>
  </w:num>
  <w:num w:numId="11">
    <w:abstractNumId w:val="10"/>
  </w:num>
  <w:num w:numId="12">
    <w:abstractNumId w:val="9"/>
  </w:num>
  <w:num w:numId="13">
    <w:abstractNumId w:val="12"/>
  </w:num>
  <w:num w:numId="14">
    <w:abstractNumId w:val="7"/>
  </w:num>
  <w:num w:numId="15">
    <w:abstractNumId w:val="11"/>
  </w:num>
  <w:num w:numId="16">
    <w:abstractNumId w:val="6"/>
  </w:num>
  <w:num w:numId="17">
    <w:abstractNumId w:val="5"/>
  </w:num>
  <w:num w:numId="18">
    <w:abstractNumId w:val="8"/>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363C"/>
    <w:rsid w:val="00004743"/>
    <w:rsid w:val="00006FE6"/>
    <w:rsid w:val="00011045"/>
    <w:rsid w:val="00012008"/>
    <w:rsid w:val="00012955"/>
    <w:rsid w:val="0002493F"/>
    <w:rsid w:val="00025963"/>
    <w:rsid w:val="000278BB"/>
    <w:rsid w:val="00034A0B"/>
    <w:rsid w:val="00034B6E"/>
    <w:rsid w:val="00034F6C"/>
    <w:rsid w:val="00042222"/>
    <w:rsid w:val="0004566C"/>
    <w:rsid w:val="00045D50"/>
    <w:rsid w:val="00046431"/>
    <w:rsid w:val="00047E04"/>
    <w:rsid w:val="0005209D"/>
    <w:rsid w:val="000525D3"/>
    <w:rsid w:val="000628B9"/>
    <w:rsid w:val="000642F0"/>
    <w:rsid w:val="00070C1A"/>
    <w:rsid w:val="000722B1"/>
    <w:rsid w:val="00072DFD"/>
    <w:rsid w:val="000758FE"/>
    <w:rsid w:val="00081935"/>
    <w:rsid w:val="00081BC8"/>
    <w:rsid w:val="00083038"/>
    <w:rsid w:val="00087EC9"/>
    <w:rsid w:val="00095750"/>
    <w:rsid w:val="000966AA"/>
    <w:rsid w:val="000A4B81"/>
    <w:rsid w:val="000A56AC"/>
    <w:rsid w:val="000A58DF"/>
    <w:rsid w:val="000B3DCB"/>
    <w:rsid w:val="000B7D85"/>
    <w:rsid w:val="000C3138"/>
    <w:rsid w:val="000C48B5"/>
    <w:rsid w:val="000C766A"/>
    <w:rsid w:val="000C79F8"/>
    <w:rsid w:val="000D0036"/>
    <w:rsid w:val="000D0C10"/>
    <w:rsid w:val="000D2E4F"/>
    <w:rsid w:val="000D45E0"/>
    <w:rsid w:val="000D55F5"/>
    <w:rsid w:val="000E148A"/>
    <w:rsid w:val="000E3428"/>
    <w:rsid w:val="000E3772"/>
    <w:rsid w:val="000E5407"/>
    <w:rsid w:val="000E5A36"/>
    <w:rsid w:val="000F5F2E"/>
    <w:rsid w:val="000F6E5E"/>
    <w:rsid w:val="00100AD4"/>
    <w:rsid w:val="00103C24"/>
    <w:rsid w:val="00106C6E"/>
    <w:rsid w:val="00111124"/>
    <w:rsid w:val="00113053"/>
    <w:rsid w:val="0011618D"/>
    <w:rsid w:val="00117B94"/>
    <w:rsid w:val="00122FBD"/>
    <w:rsid w:val="00124514"/>
    <w:rsid w:val="00132191"/>
    <w:rsid w:val="00134B8F"/>
    <w:rsid w:val="0013640E"/>
    <w:rsid w:val="001370AB"/>
    <w:rsid w:val="00137D29"/>
    <w:rsid w:val="00145F02"/>
    <w:rsid w:val="00150661"/>
    <w:rsid w:val="0015113E"/>
    <w:rsid w:val="00151959"/>
    <w:rsid w:val="00153DB7"/>
    <w:rsid w:val="0015485B"/>
    <w:rsid w:val="00154D6C"/>
    <w:rsid w:val="00155119"/>
    <w:rsid w:val="00155C98"/>
    <w:rsid w:val="00156119"/>
    <w:rsid w:val="00160F9B"/>
    <w:rsid w:val="00170030"/>
    <w:rsid w:val="00170359"/>
    <w:rsid w:val="00173AA2"/>
    <w:rsid w:val="00176001"/>
    <w:rsid w:val="001773FE"/>
    <w:rsid w:val="001777F0"/>
    <w:rsid w:val="001778A0"/>
    <w:rsid w:val="00181EAE"/>
    <w:rsid w:val="001925CF"/>
    <w:rsid w:val="00194D9E"/>
    <w:rsid w:val="001A04A2"/>
    <w:rsid w:val="001A2005"/>
    <w:rsid w:val="001A2416"/>
    <w:rsid w:val="001A3459"/>
    <w:rsid w:val="001A4A2E"/>
    <w:rsid w:val="001A556A"/>
    <w:rsid w:val="001A6D39"/>
    <w:rsid w:val="001B7410"/>
    <w:rsid w:val="001B7C8F"/>
    <w:rsid w:val="001C12A7"/>
    <w:rsid w:val="001C707A"/>
    <w:rsid w:val="001D1304"/>
    <w:rsid w:val="001D3682"/>
    <w:rsid w:val="001E688B"/>
    <w:rsid w:val="001F2831"/>
    <w:rsid w:val="001F2B86"/>
    <w:rsid w:val="001F3789"/>
    <w:rsid w:val="001F5DFE"/>
    <w:rsid w:val="00201154"/>
    <w:rsid w:val="00201227"/>
    <w:rsid w:val="00201D53"/>
    <w:rsid w:val="0020470A"/>
    <w:rsid w:val="0020481E"/>
    <w:rsid w:val="002076E6"/>
    <w:rsid w:val="002078FF"/>
    <w:rsid w:val="0021557D"/>
    <w:rsid w:val="00215F34"/>
    <w:rsid w:val="0022098F"/>
    <w:rsid w:val="00223E3E"/>
    <w:rsid w:val="00227880"/>
    <w:rsid w:val="00232C87"/>
    <w:rsid w:val="00233F5D"/>
    <w:rsid w:val="0023408F"/>
    <w:rsid w:val="00234519"/>
    <w:rsid w:val="00237A37"/>
    <w:rsid w:val="002419CF"/>
    <w:rsid w:val="00244AEF"/>
    <w:rsid w:val="002461E0"/>
    <w:rsid w:val="002462B9"/>
    <w:rsid w:val="0024745F"/>
    <w:rsid w:val="002533CD"/>
    <w:rsid w:val="00255ED4"/>
    <w:rsid w:val="002571A2"/>
    <w:rsid w:val="00265313"/>
    <w:rsid w:val="00266B5F"/>
    <w:rsid w:val="00267108"/>
    <w:rsid w:val="00267A7F"/>
    <w:rsid w:val="002707E4"/>
    <w:rsid w:val="00270BFA"/>
    <w:rsid w:val="00273A4A"/>
    <w:rsid w:val="00275510"/>
    <w:rsid w:val="002767E4"/>
    <w:rsid w:val="0028025C"/>
    <w:rsid w:val="0028123F"/>
    <w:rsid w:val="00285FD1"/>
    <w:rsid w:val="00287D52"/>
    <w:rsid w:val="00296A05"/>
    <w:rsid w:val="002A0ABE"/>
    <w:rsid w:val="002A6610"/>
    <w:rsid w:val="002A7DA0"/>
    <w:rsid w:val="002B0D8E"/>
    <w:rsid w:val="002B115E"/>
    <w:rsid w:val="002C1B06"/>
    <w:rsid w:val="002C341E"/>
    <w:rsid w:val="002C5499"/>
    <w:rsid w:val="002D4D72"/>
    <w:rsid w:val="002D4F6A"/>
    <w:rsid w:val="002D6542"/>
    <w:rsid w:val="002D7CB8"/>
    <w:rsid w:val="002E3269"/>
    <w:rsid w:val="002F1365"/>
    <w:rsid w:val="00300F6C"/>
    <w:rsid w:val="00303312"/>
    <w:rsid w:val="003042AC"/>
    <w:rsid w:val="00307233"/>
    <w:rsid w:val="003107EA"/>
    <w:rsid w:val="003138B9"/>
    <w:rsid w:val="0031741E"/>
    <w:rsid w:val="00320B43"/>
    <w:rsid w:val="003379B2"/>
    <w:rsid w:val="0034080D"/>
    <w:rsid w:val="00345447"/>
    <w:rsid w:val="00346C72"/>
    <w:rsid w:val="0034776F"/>
    <w:rsid w:val="003515CE"/>
    <w:rsid w:val="00351C95"/>
    <w:rsid w:val="00351E6E"/>
    <w:rsid w:val="00356A75"/>
    <w:rsid w:val="00363E71"/>
    <w:rsid w:val="0036447E"/>
    <w:rsid w:val="003655EC"/>
    <w:rsid w:val="00370568"/>
    <w:rsid w:val="00371473"/>
    <w:rsid w:val="00372D0A"/>
    <w:rsid w:val="00373D1D"/>
    <w:rsid w:val="00377045"/>
    <w:rsid w:val="0037762B"/>
    <w:rsid w:val="00380117"/>
    <w:rsid w:val="00381E01"/>
    <w:rsid w:val="00381E56"/>
    <w:rsid w:val="003829C5"/>
    <w:rsid w:val="00382CB2"/>
    <w:rsid w:val="003833CF"/>
    <w:rsid w:val="0038382C"/>
    <w:rsid w:val="0038718D"/>
    <w:rsid w:val="0039333F"/>
    <w:rsid w:val="003974D4"/>
    <w:rsid w:val="00397CA1"/>
    <w:rsid w:val="003A51D0"/>
    <w:rsid w:val="003A5677"/>
    <w:rsid w:val="003A60ED"/>
    <w:rsid w:val="003A7991"/>
    <w:rsid w:val="003B48C3"/>
    <w:rsid w:val="003B4A54"/>
    <w:rsid w:val="003B4D54"/>
    <w:rsid w:val="003B7042"/>
    <w:rsid w:val="003C55C4"/>
    <w:rsid w:val="003D2573"/>
    <w:rsid w:val="003D6373"/>
    <w:rsid w:val="003D6D66"/>
    <w:rsid w:val="003E66D9"/>
    <w:rsid w:val="003E6E97"/>
    <w:rsid w:val="003E769A"/>
    <w:rsid w:val="003F142C"/>
    <w:rsid w:val="003F1A68"/>
    <w:rsid w:val="003F326E"/>
    <w:rsid w:val="003F6730"/>
    <w:rsid w:val="003F7380"/>
    <w:rsid w:val="00402C19"/>
    <w:rsid w:val="0040588F"/>
    <w:rsid w:val="00406E33"/>
    <w:rsid w:val="00415390"/>
    <w:rsid w:val="0041654B"/>
    <w:rsid w:val="00422EEC"/>
    <w:rsid w:val="00430056"/>
    <w:rsid w:val="004333CB"/>
    <w:rsid w:val="00433CD5"/>
    <w:rsid w:val="004362B6"/>
    <w:rsid w:val="00436772"/>
    <w:rsid w:val="00437453"/>
    <w:rsid w:val="00437B5C"/>
    <w:rsid w:val="004416ED"/>
    <w:rsid w:val="0044279E"/>
    <w:rsid w:val="00442F8B"/>
    <w:rsid w:val="004434D8"/>
    <w:rsid w:val="0045031B"/>
    <w:rsid w:val="0045048A"/>
    <w:rsid w:val="004614C5"/>
    <w:rsid w:val="00462B70"/>
    <w:rsid w:val="00463778"/>
    <w:rsid w:val="00464A67"/>
    <w:rsid w:val="00465EDE"/>
    <w:rsid w:val="00466AD7"/>
    <w:rsid w:val="00477685"/>
    <w:rsid w:val="00485EB2"/>
    <w:rsid w:val="0048779D"/>
    <w:rsid w:val="004919E7"/>
    <w:rsid w:val="00496E72"/>
    <w:rsid w:val="004A114E"/>
    <w:rsid w:val="004A3C1E"/>
    <w:rsid w:val="004A71E3"/>
    <w:rsid w:val="004A79A4"/>
    <w:rsid w:val="004B2938"/>
    <w:rsid w:val="004B2A23"/>
    <w:rsid w:val="004B490C"/>
    <w:rsid w:val="004B4BD1"/>
    <w:rsid w:val="004C04AA"/>
    <w:rsid w:val="004C335B"/>
    <w:rsid w:val="004C5C6F"/>
    <w:rsid w:val="004C69E7"/>
    <w:rsid w:val="004D16D4"/>
    <w:rsid w:val="004D16FC"/>
    <w:rsid w:val="004D2DA1"/>
    <w:rsid w:val="004D2DFC"/>
    <w:rsid w:val="004D2F42"/>
    <w:rsid w:val="004E21C5"/>
    <w:rsid w:val="004E3460"/>
    <w:rsid w:val="004E5468"/>
    <w:rsid w:val="004E59E2"/>
    <w:rsid w:val="004E67EE"/>
    <w:rsid w:val="004E766C"/>
    <w:rsid w:val="004F1663"/>
    <w:rsid w:val="004F2665"/>
    <w:rsid w:val="00502885"/>
    <w:rsid w:val="00503CC8"/>
    <w:rsid w:val="00504117"/>
    <w:rsid w:val="00506868"/>
    <w:rsid w:val="00507612"/>
    <w:rsid w:val="00514613"/>
    <w:rsid w:val="00514626"/>
    <w:rsid w:val="00514F09"/>
    <w:rsid w:val="005206FD"/>
    <w:rsid w:val="00521E6B"/>
    <w:rsid w:val="00525472"/>
    <w:rsid w:val="0053192B"/>
    <w:rsid w:val="00531B04"/>
    <w:rsid w:val="00535ED4"/>
    <w:rsid w:val="00535FBF"/>
    <w:rsid w:val="0053672B"/>
    <w:rsid w:val="005413AE"/>
    <w:rsid w:val="00541E68"/>
    <w:rsid w:val="00544871"/>
    <w:rsid w:val="00544A57"/>
    <w:rsid w:val="005473B9"/>
    <w:rsid w:val="00552864"/>
    <w:rsid w:val="0055335C"/>
    <w:rsid w:val="005539CB"/>
    <w:rsid w:val="00553DCB"/>
    <w:rsid w:val="005552AA"/>
    <w:rsid w:val="00555A5F"/>
    <w:rsid w:val="00555A9E"/>
    <w:rsid w:val="00556F43"/>
    <w:rsid w:val="00564882"/>
    <w:rsid w:val="00566E91"/>
    <w:rsid w:val="00567065"/>
    <w:rsid w:val="00567551"/>
    <w:rsid w:val="00570AD3"/>
    <w:rsid w:val="00575E0D"/>
    <w:rsid w:val="005819E2"/>
    <w:rsid w:val="00583B50"/>
    <w:rsid w:val="00584399"/>
    <w:rsid w:val="005867EF"/>
    <w:rsid w:val="00586944"/>
    <w:rsid w:val="005911AD"/>
    <w:rsid w:val="005927A6"/>
    <w:rsid w:val="005944B8"/>
    <w:rsid w:val="005952B6"/>
    <w:rsid w:val="0059645F"/>
    <w:rsid w:val="005A5E0C"/>
    <w:rsid w:val="005B0C7D"/>
    <w:rsid w:val="005B3240"/>
    <w:rsid w:val="005B6B6D"/>
    <w:rsid w:val="005B6DF2"/>
    <w:rsid w:val="005B76A2"/>
    <w:rsid w:val="005C19C7"/>
    <w:rsid w:val="005C411B"/>
    <w:rsid w:val="005C5621"/>
    <w:rsid w:val="005C7D1B"/>
    <w:rsid w:val="005D0347"/>
    <w:rsid w:val="005D0929"/>
    <w:rsid w:val="005D0A85"/>
    <w:rsid w:val="005D2D5C"/>
    <w:rsid w:val="006020A0"/>
    <w:rsid w:val="00602514"/>
    <w:rsid w:val="00605D16"/>
    <w:rsid w:val="00605EB8"/>
    <w:rsid w:val="00607CC4"/>
    <w:rsid w:val="0061023C"/>
    <w:rsid w:val="00614010"/>
    <w:rsid w:val="006173AD"/>
    <w:rsid w:val="006230A3"/>
    <w:rsid w:val="00633403"/>
    <w:rsid w:val="006337F6"/>
    <w:rsid w:val="00640B40"/>
    <w:rsid w:val="00641B57"/>
    <w:rsid w:val="006429B4"/>
    <w:rsid w:val="00644390"/>
    <w:rsid w:val="00644693"/>
    <w:rsid w:val="00646B71"/>
    <w:rsid w:val="006512AC"/>
    <w:rsid w:val="00651C5D"/>
    <w:rsid w:val="006532C6"/>
    <w:rsid w:val="0066123C"/>
    <w:rsid w:val="006625BE"/>
    <w:rsid w:val="00667357"/>
    <w:rsid w:val="0067249F"/>
    <w:rsid w:val="00673EB3"/>
    <w:rsid w:val="0067543E"/>
    <w:rsid w:val="0067768D"/>
    <w:rsid w:val="00682404"/>
    <w:rsid w:val="0068378A"/>
    <w:rsid w:val="0068440C"/>
    <w:rsid w:val="0069500E"/>
    <w:rsid w:val="00697557"/>
    <w:rsid w:val="006A283F"/>
    <w:rsid w:val="006A733B"/>
    <w:rsid w:val="006A75AB"/>
    <w:rsid w:val="006B65DC"/>
    <w:rsid w:val="006B77EF"/>
    <w:rsid w:val="006B787A"/>
    <w:rsid w:val="006C0A24"/>
    <w:rsid w:val="006C102A"/>
    <w:rsid w:val="006C115E"/>
    <w:rsid w:val="006C47F7"/>
    <w:rsid w:val="006C5FC9"/>
    <w:rsid w:val="006C6B3F"/>
    <w:rsid w:val="006C715F"/>
    <w:rsid w:val="006C7C69"/>
    <w:rsid w:val="006D2058"/>
    <w:rsid w:val="006D2CDB"/>
    <w:rsid w:val="006D3569"/>
    <w:rsid w:val="006D3DAB"/>
    <w:rsid w:val="006D4EBE"/>
    <w:rsid w:val="006D7495"/>
    <w:rsid w:val="006E23C8"/>
    <w:rsid w:val="006E37B6"/>
    <w:rsid w:val="006E435B"/>
    <w:rsid w:val="006E6D8B"/>
    <w:rsid w:val="006E70B8"/>
    <w:rsid w:val="006F412B"/>
    <w:rsid w:val="006F72BF"/>
    <w:rsid w:val="00710461"/>
    <w:rsid w:val="00711CCC"/>
    <w:rsid w:val="00711E54"/>
    <w:rsid w:val="0071352B"/>
    <w:rsid w:val="007160E2"/>
    <w:rsid w:val="00716384"/>
    <w:rsid w:val="00716C9A"/>
    <w:rsid w:val="00717A5F"/>
    <w:rsid w:val="00720E1D"/>
    <w:rsid w:val="00721E10"/>
    <w:rsid w:val="007232DD"/>
    <w:rsid w:val="007240DF"/>
    <w:rsid w:val="00724652"/>
    <w:rsid w:val="0072555F"/>
    <w:rsid w:val="00725ED7"/>
    <w:rsid w:val="00726FB2"/>
    <w:rsid w:val="007328B8"/>
    <w:rsid w:val="00734973"/>
    <w:rsid w:val="00741AAC"/>
    <w:rsid w:val="00742F9E"/>
    <w:rsid w:val="00743618"/>
    <w:rsid w:val="00744893"/>
    <w:rsid w:val="007459DB"/>
    <w:rsid w:val="00745B2F"/>
    <w:rsid w:val="0074654B"/>
    <w:rsid w:val="00746EF1"/>
    <w:rsid w:val="00750174"/>
    <w:rsid w:val="00750C2D"/>
    <w:rsid w:val="00752616"/>
    <w:rsid w:val="00764F94"/>
    <w:rsid w:val="0076610A"/>
    <w:rsid w:val="00766D3A"/>
    <w:rsid w:val="007711DE"/>
    <w:rsid w:val="0077158F"/>
    <w:rsid w:val="0077203D"/>
    <w:rsid w:val="00772A8C"/>
    <w:rsid w:val="00775972"/>
    <w:rsid w:val="00775FFC"/>
    <w:rsid w:val="007806F8"/>
    <w:rsid w:val="00781242"/>
    <w:rsid w:val="00783E71"/>
    <w:rsid w:val="0078699F"/>
    <w:rsid w:val="0078736A"/>
    <w:rsid w:val="00787F36"/>
    <w:rsid w:val="00791461"/>
    <w:rsid w:val="0079339A"/>
    <w:rsid w:val="0079485E"/>
    <w:rsid w:val="0079734D"/>
    <w:rsid w:val="007A0B0E"/>
    <w:rsid w:val="007A2519"/>
    <w:rsid w:val="007A2A72"/>
    <w:rsid w:val="007A2EE1"/>
    <w:rsid w:val="007A385A"/>
    <w:rsid w:val="007A3B9A"/>
    <w:rsid w:val="007A7798"/>
    <w:rsid w:val="007B2196"/>
    <w:rsid w:val="007B3559"/>
    <w:rsid w:val="007B45AF"/>
    <w:rsid w:val="007B5A1B"/>
    <w:rsid w:val="007C0B3C"/>
    <w:rsid w:val="007C6B64"/>
    <w:rsid w:val="007D0B30"/>
    <w:rsid w:val="007D536F"/>
    <w:rsid w:val="007D6A7F"/>
    <w:rsid w:val="007E053E"/>
    <w:rsid w:val="007E23AE"/>
    <w:rsid w:val="007E698D"/>
    <w:rsid w:val="007F2621"/>
    <w:rsid w:val="007F497A"/>
    <w:rsid w:val="007F5FC6"/>
    <w:rsid w:val="00803075"/>
    <w:rsid w:val="0080461F"/>
    <w:rsid w:val="00806832"/>
    <w:rsid w:val="00806A92"/>
    <w:rsid w:val="008130B6"/>
    <w:rsid w:val="008170F5"/>
    <w:rsid w:val="00821FA9"/>
    <w:rsid w:val="008233FC"/>
    <w:rsid w:val="008247A3"/>
    <w:rsid w:val="008250F5"/>
    <w:rsid w:val="00825133"/>
    <w:rsid w:val="00825932"/>
    <w:rsid w:val="00825B46"/>
    <w:rsid w:val="00826F88"/>
    <w:rsid w:val="00830010"/>
    <w:rsid w:val="00833122"/>
    <w:rsid w:val="0083318B"/>
    <w:rsid w:val="00837DB9"/>
    <w:rsid w:val="00842045"/>
    <w:rsid w:val="00842B50"/>
    <w:rsid w:val="0084624B"/>
    <w:rsid w:val="0085166A"/>
    <w:rsid w:val="008516F9"/>
    <w:rsid w:val="00853DBA"/>
    <w:rsid w:val="00854CAA"/>
    <w:rsid w:val="008556F4"/>
    <w:rsid w:val="008564AB"/>
    <w:rsid w:val="008564C1"/>
    <w:rsid w:val="0085699F"/>
    <w:rsid w:val="00856E16"/>
    <w:rsid w:val="00862EBC"/>
    <w:rsid w:val="00864E57"/>
    <w:rsid w:val="00865D58"/>
    <w:rsid w:val="00870807"/>
    <w:rsid w:val="008716EF"/>
    <w:rsid w:val="008726A2"/>
    <w:rsid w:val="008765D5"/>
    <w:rsid w:val="00877A12"/>
    <w:rsid w:val="008804F6"/>
    <w:rsid w:val="00881082"/>
    <w:rsid w:val="00881C50"/>
    <w:rsid w:val="00884407"/>
    <w:rsid w:val="00885896"/>
    <w:rsid w:val="00887574"/>
    <w:rsid w:val="008907A0"/>
    <w:rsid w:val="0089431B"/>
    <w:rsid w:val="008950BC"/>
    <w:rsid w:val="008A24DA"/>
    <w:rsid w:val="008A3316"/>
    <w:rsid w:val="008A3897"/>
    <w:rsid w:val="008A3D1F"/>
    <w:rsid w:val="008A4F3F"/>
    <w:rsid w:val="008A5687"/>
    <w:rsid w:val="008A631C"/>
    <w:rsid w:val="008A6454"/>
    <w:rsid w:val="008A6E74"/>
    <w:rsid w:val="008B167C"/>
    <w:rsid w:val="008B4EFA"/>
    <w:rsid w:val="008B6571"/>
    <w:rsid w:val="008B68F2"/>
    <w:rsid w:val="008B6EBF"/>
    <w:rsid w:val="008C1307"/>
    <w:rsid w:val="008C3AE2"/>
    <w:rsid w:val="008C5D3A"/>
    <w:rsid w:val="008C6BEB"/>
    <w:rsid w:val="008C772A"/>
    <w:rsid w:val="008D003B"/>
    <w:rsid w:val="008D22F5"/>
    <w:rsid w:val="008D29FB"/>
    <w:rsid w:val="008D4CF0"/>
    <w:rsid w:val="008D5F3A"/>
    <w:rsid w:val="008E40D2"/>
    <w:rsid w:val="008E4557"/>
    <w:rsid w:val="008F269A"/>
    <w:rsid w:val="008F3496"/>
    <w:rsid w:val="008F50E5"/>
    <w:rsid w:val="008F6172"/>
    <w:rsid w:val="008F64ED"/>
    <w:rsid w:val="008F796D"/>
    <w:rsid w:val="008F7D30"/>
    <w:rsid w:val="00902160"/>
    <w:rsid w:val="009048FE"/>
    <w:rsid w:val="009052AB"/>
    <w:rsid w:val="00917921"/>
    <w:rsid w:val="00930473"/>
    <w:rsid w:val="00930BB0"/>
    <w:rsid w:val="00932867"/>
    <w:rsid w:val="00933EC5"/>
    <w:rsid w:val="00935822"/>
    <w:rsid w:val="009379E7"/>
    <w:rsid w:val="00940DCE"/>
    <w:rsid w:val="00941233"/>
    <w:rsid w:val="00941E26"/>
    <w:rsid w:val="009429A9"/>
    <w:rsid w:val="00946D21"/>
    <w:rsid w:val="00947507"/>
    <w:rsid w:val="00951EEA"/>
    <w:rsid w:val="009534D2"/>
    <w:rsid w:val="00955AB4"/>
    <w:rsid w:val="009719EF"/>
    <w:rsid w:val="00980ED3"/>
    <w:rsid w:val="009817C0"/>
    <w:rsid w:val="00981EC7"/>
    <w:rsid w:val="00982017"/>
    <w:rsid w:val="00983032"/>
    <w:rsid w:val="00983623"/>
    <w:rsid w:val="009837DE"/>
    <w:rsid w:val="00984AC0"/>
    <w:rsid w:val="00996652"/>
    <w:rsid w:val="00996DF5"/>
    <w:rsid w:val="009A40D0"/>
    <w:rsid w:val="009A4DF0"/>
    <w:rsid w:val="009B524A"/>
    <w:rsid w:val="009B6A3F"/>
    <w:rsid w:val="009C2B07"/>
    <w:rsid w:val="009C7F6E"/>
    <w:rsid w:val="009D1C02"/>
    <w:rsid w:val="009D2167"/>
    <w:rsid w:val="009D26F2"/>
    <w:rsid w:val="009D44A2"/>
    <w:rsid w:val="009D751B"/>
    <w:rsid w:val="009D7B53"/>
    <w:rsid w:val="009F4C5B"/>
    <w:rsid w:val="009F60C3"/>
    <w:rsid w:val="00A00948"/>
    <w:rsid w:val="00A0096F"/>
    <w:rsid w:val="00A00BE6"/>
    <w:rsid w:val="00A029D9"/>
    <w:rsid w:val="00A06254"/>
    <w:rsid w:val="00A0682A"/>
    <w:rsid w:val="00A07D1C"/>
    <w:rsid w:val="00A16056"/>
    <w:rsid w:val="00A1773E"/>
    <w:rsid w:val="00A21B94"/>
    <w:rsid w:val="00A23D45"/>
    <w:rsid w:val="00A2606E"/>
    <w:rsid w:val="00A314B3"/>
    <w:rsid w:val="00A3178C"/>
    <w:rsid w:val="00A41699"/>
    <w:rsid w:val="00A42BE1"/>
    <w:rsid w:val="00A43C35"/>
    <w:rsid w:val="00A44166"/>
    <w:rsid w:val="00A44889"/>
    <w:rsid w:val="00A5072F"/>
    <w:rsid w:val="00A52D52"/>
    <w:rsid w:val="00A56487"/>
    <w:rsid w:val="00A56CB7"/>
    <w:rsid w:val="00A609AB"/>
    <w:rsid w:val="00A62EB1"/>
    <w:rsid w:val="00A6500A"/>
    <w:rsid w:val="00A66128"/>
    <w:rsid w:val="00A705AD"/>
    <w:rsid w:val="00A72C53"/>
    <w:rsid w:val="00A74E17"/>
    <w:rsid w:val="00A76943"/>
    <w:rsid w:val="00A8477A"/>
    <w:rsid w:val="00A915BB"/>
    <w:rsid w:val="00A933A1"/>
    <w:rsid w:val="00A96448"/>
    <w:rsid w:val="00AA0746"/>
    <w:rsid w:val="00AA22F1"/>
    <w:rsid w:val="00AA64D3"/>
    <w:rsid w:val="00AA6612"/>
    <w:rsid w:val="00AB3E29"/>
    <w:rsid w:val="00AB4DD9"/>
    <w:rsid w:val="00AB5512"/>
    <w:rsid w:val="00AB70F3"/>
    <w:rsid w:val="00AC157C"/>
    <w:rsid w:val="00AC1FB1"/>
    <w:rsid w:val="00AC2D92"/>
    <w:rsid w:val="00AC7D73"/>
    <w:rsid w:val="00AD0104"/>
    <w:rsid w:val="00AD6407"/>
    <w:rsid w:val="00AD71CF"/>
    <w:rsid w:val="00AE3D77"/>
    <w:rsid w:val="00AF0B85"/>
    <w:rsid w:val="00AF153D"/>
    <w:rsid w:val="00AF502F"/>
    <w:rsid w:val="00B00FF2"/>
    <w:rsid w:val="00B016FC"/>
    <w:rsid w:val="00B0182F"/>
    <w:rsid w:val="00B05E26"/>
    <w:rsid w:val="00B14EF5"/>
    <w:rsid w:val="00B154F6"/>
    <w:rsid w:val="00B161A3"/>
    <w:rsid w:val="00B21B5B"/>
    <w:rsid w:val="00B2357A"/>
    <w:rsid w:val="00B33B7F"/>
    <w:rsid w:val="00B34B00"/>
    <w:rsid w:val="00B36262"/>
    <w:rsid w:val="00B41CD3"/>
    <w:rsid w:val="00B420F0"/>
    <w:rsid w:val="00B46D30"/>
    <w:rsid w:val="00B46F0D"/>
    <w:rsid w:val="00B46FD9"/>
    <w:rsid w:val="00B47691"/>
    <w:rsid w:val="00B54335"/>
    <w:rsid w:val="00B6310E"/>
    <w:rsid w:val="00B67515"/>
    <w:rsid w:val="00B710CB"/>
    <w:rsid w:val="00B71D65"/>
    <w:rsid w:val="00B75DB5"/>
    <w:rsid w:val="00B75DE6"/>
    <w:rsid w:val="00B76C14"/>
    <w:rsid w:val="00B76DBE"/>
    <w:rsid w:val="00B76DE1"/>
    <w:rsid w:val="00B8371D"/>
    <w:rsid w:val="00B8577A"/>
    <w:rsid w:val="00B868DD"/>
    <w:rsid w:val="00B91578"/>
    <w:rsid w:val="00B93489"/>
    <w:rsid w:val="00B94169"/>
    <w:rsid w:val="00BA7A72"/>
    <w:rsid w:val="00BB0B26"/>
    <w:rsid w:val="00BB15CE"/>
    <w:rsid w:val="00BB17A5"/>
    <w:rsid w:val="00BB4D2C"/>
    <w:rsid w:val="00BB5797"/>
    <w:rsid w:val="00BB60C7"/>
    <w:rsid w:val="00BB70A6"/>
    <w:rsid w:val="00BC112E"/>
    <w:rsid w:val="00BC336C"/>
    <w:rsid w:val="00BC40FE"/>
    <w:rsid w:val="00BD0980"/>
    <w:rsid w:val="00BD0C3F"/>
    <w:rsid w:val="00BD1010"/>
    <w:rsid w:val="00BD31E1"/>
    <w:rsid w:val="00BD49BB"/>
    <w:rsid w:val="00BE304F"/>
    <w:rsid w:val="00BE6C1E"/>
    <w:rsid w:val="00BF13EA"/>
    <w:rsid w:val="00BF4D8B"/>
    <w:rsid w:val="00BF7576"/>
    <w:rsid w:val="00C00321"/>
    <w:rsid w:val="00C0390D"/>
    <w:rsid w:val="00C068A6"/>
    <w:rsid w:val="00C12359"/>
    <w:rsid w:val="00C124F8"/>
    <w:rsid w:val="00C14775"/>
    <w:rsid w:val="00C15FD0"/>
    <w:rsid w:val="00C16C37"/>
    <w:rsid w:val="00C226E5"/>
    <w:rsid w:val="00C257E7"/>
    <w:rsid w:val="00C26A91"/>
    <w:rsid w:val="00C26DB3"/>
    <w:rsid w:val="00C301E9"/>
    <w:rsid w:val="00C31026"/>
    <w:rsid w:val="00C3618F"/>
    <w:rsid w:val="00C413EE"/>
    <w:rsid w:val="00C41606"/>
    <w:rsid w:val="00C46DD1"/>
    <w:rsid w:val="00C47273"/>
    <w:rsid w:val="00C47FAA"/>
    <w:rsid w:val="00C51599"/>
    <w:rsid w:val="00C516CF"/>
    <w:rsid w:val="00C5313A"/>
    <w:rsid w:val="00C53370"/>
    <w:rsid w:val="00C57D88"/>
    <w:rsid w:val="00C61635"/>
    <w:rsid w:val="00C62C55"/>
    <w:rsid w:val="00C675F4"/>
    <w:rsid w:val="00C70A8C"/>
    <w:rsid w:val="00C720A1"/>
    <w:rsid w:val="00C7397C"/>
    <w:rsid w:val="00C8094F"/>
    <w:rsid w:val="00C81CD4"/>
    <w:rsid w:val="00C84578"/>
    <w:rsid w:val="00C8647B"/>
    <w:rsid w:val="00C90DE8"/>
    <w:rsid w:val="00C92615"/>
    <w:rsid w:val="00C95F37"/>
    <w:rsid w:val="00C96159"/>
    <w:rsid w:val="00CA236C"/>
    <w:rsid w:val="00CA3001"/>
    <w:rsid w:val="00CA36A3"/>
    <w:rsid w:val="00CA533B"/>
    <w:rsid w:val="00CB0312"/>
    <w:rsid w:val="00CB05E5"/>
    <w:rsid w:val="00CB23DF"/>
    <w:rsid w:val="00CB5D0E"/>
    <w:rsid w:val="00CB74DA"/>
    <w:rsid w:val="00CB7FA8"/>
    <w:rsid w:val="00CC01E5"/>
    <w:rsid w:val="00CC05DF"/>
    <w:rsid w:val="00CC1806"/>
    <w:rsid w:val="00CC470F"/>
    <w:rsid w:val="00CD1A6E"/>
    <w:rsid w:val="00CD29AC"/>
    <w:rsid w:val="00CD448D"/>
    <w:rsid w:val="00CD6139"/>
    <w:rsid w:val="00CD67D3"/>
    <w:rsid w:val="00CE33A1"/>
    <w:rsid w:val="00CE43E8"/>
    <w:rsid w:val="00CE5E23"/>
    <w:rsid w:val="00CE6F4F"/>
    <w:rsid w:val="00CF58BD"/>
    <w:rsid w:val="00D01545"/>
    <w:rsid w:val="00D04834"/>
    <w:rsid w:val="00D04BAC"/>
    <w:rsid w:val="00D062F3"/>
    <w:rsid w:val="00D141F2"/>
    <w:rsid w:val="00D14E7C"/>
    <w:rsid w:val="00D15235"/>
    <w:rsid w:val="00D153D2"/>
    <w:rsid w:val="00D26342"/>
    <w:rsid w:val="00D26FF5"/>
    <w:rsid w:val="00D33AEC"/>
    <w:rsid w:val="00D33F87"/>
    <w:rsid w:val="00D41720"/>
    <w:rsid w:val="00D5166C"/>
    <w:rsid w:val="00D532EC"/>
    <w:rsid w:val="00D54B54"/>
    <w:rsid w:val="00D57406"/>
    <w:rsid w:val="00D601C5"/>
    <w:rsid w:val="00D603CB"/>
    <w:rsid w:val="00D60702"/>
    <w:rsid w:val="00D639A3"/>
    <w:rsid w:val="00D64014"/>
    <w:rsid w:val="00D66479"/>
    <w:rsid w:val="00D70676"/>
    <w:rsid w:val="00D7134E"/>
    <w:rsid w:val="00D7146A"/>
    <w:rsid w:val="00D72CC4"/>
    <w:rsid w:val="00D80015"/>
    <w:rsid w:val="00D8219F"/>
    <w:rsid w:val="00D8289C"/>
    <w:rsid w:val="00D84C9B"/>
    <w:rsid w:val="00D8531F"/>
    <w:rsid w:val="00D87401"/>
    <w:rsid w:val="00D913BD"/>
    <w:rsid w:val="00D937B6"/>
    <w:rsid w:val="00D94BC8"/>
    <w:rsid w:val="00D95CC1"/>
    <w:rsid w:val="00D96D93"/>
    <w:rsid w:val="00D97A10"/>
    <w:rsid w:val="00DA2AAF"/>
    <w:rsid w:val="00DA4B19"/>
    <w:rsid w:val="00DA7D9F"/>
    <w:rsid w:val="00DB2208"/>
    <w:rsid w:val="00DB2FD5"/>
    <w:rsid w:val="00DB470D"/>
    <w:rsid w:val="00DB5905"/>
    <w:rsid w:val="00DC29E2"/>
    <w:rsid w:val="00DC4837"/>
    <w:rsid w:val="00DD0FFA"/>
    <w:rsid w:val="00DD38F9"/>
    <w:rsid w:val="00DD61CD"/>
    <w:rsid w:val="00DD6E37"/>
    <w:rsid w:val="00DD6ED4"/>
    <w:rsid w:val="00DE04D5"/>
    <w:rsid w:val="00DE0597"/>
    <w:rsid w:val="00DE08F1"/>
    <w:rsid w:val="00DE3F1B"/>
    <w:rsid w:val="00DE5467"/>
    <w:rsid w:val="00DF32BA"/>
    <w:rsid w:val="00DF7081"/>
    <w:rsid w:val="00E01AB2"/>
    <w:rsid w:val="00E02DAC"/>
    <w:rsid w:val="00E0430D"/>
    <w:rsid w:val="00E10818"/>
    <w:rsid w:val="00E11847"/>
    <w:rsid w:val="00E136B9"/>
    <w:rsid w:val="00E13EF4"/>
    <w:rsid w:val="00E16ACF"/>
    <w:rsid w:val="00E1727D"/>
    <w:rsid w:val="00E1746D"/>
    <w:rsid w:val="00E22F61"/>
    <w:rsid w:val="00E2318D"/>
    <w:rsid w:val="00E23843"/>
    <w:rsid w:val="00E27CA6"/>
    <w:rsid w:val="00E30511"/>
    <w:rsid w:val="00E30B1A"/>
    <w:rsid w:val="00E312F3"/>
    <w:rsid w:val="00E31B6A"/>
    <w:rsid w:val="00E324EB"/>
    <w:rsid w:val="00E333F0"/>
    <w:rsid w:val="00E430F6"/>
    <w:rsid w:val="00E50FB6"/>
    <w:rsid w:val="00E51362"/>
    <w:rsid w:val="00E535F1"/>
    <w:rsid w:val="00E55703"/>
    <w:rsid w:val="00E55B79"/>
    <w:rsid w:val="00E56AD7"/>
    <w:rsid w:val="00E60379"/>
    <w:rsid w:val="00E617E8"/>
    <w:rsid w:val="00E65F33"/>
    <w:rsid w:val="00E70512"/>
    <w:rsid w:val="00E71C45"/>
    <w:rsid w:val="00E73391"/>
    <w:rsid w:val="00E83762"/>
    <w:rsid w:val="00E86CBB"/>
    <w:rsid w:val="00E915E4"/>
    <w:rsid w:val="00E922C6"/>
    <w:rsid w:val="00E9242D"/>
    <w:rsid w:val="00E95A06"/>
    <w:rsid w:val="00EA095A"/>
    <w:rsid w:val="00EA735C"/>
    <w:rsid w:val="00EA7492"/>
    <w:rsid w:val="00EB2657"/>
    <w:rsid w:val="00EB3149"/>
    <w:rsid w:val="00EB3A6F"/>
    <w:rsid w:val="00EB463D"/>
    <w:rsid w:val="00EB4718"/>
    <w:rsid w:val="00EB4E37"/>
    <w:rsid w:val="00EB662F"/>
    <w:rsid w:val="00EC0D6C"/>
    <w:rsid w:val="00EC13F8"/>
    <w:rsid w:val="00EC25EB"/>
    <w:rsid w:val="00EC7B8A"/>
    <w:rsid w:val="00ED6779"/>
    <w:rsid w:val="00ED6E0F"/>
    <w:rsid w:val="00EE002F"/>
    <w:rsid w:val="00EE0DB5"/>
    <w:rsid w:val="00EE1E44"/>
    <w:rsid w:val="00EF07FA"/>
    <w:rsid w:val="00F00687"/>
    <w:rsid w:val="00F05BAB"/>
    <w:rsid w:val="00F1245D"/>
    <w:rsid w:val="00F20F99"/>
    <w:rsid w:val="00F32189"/>
    <w:rsid w:val="00F33656"/>
    <w:rsid w:val="00F33E9A"/>
    <w:rsid w:val="00F4069E"/>
    <w:rsid w:val="00F50385"/>
    <w:rsid w:val="00F52565"/>
    <w:rsid w:val="00F54EE6"/>
    <w:rsid w:val="00F55F53"/>
    <w:rsid w:val="00F56011"/>
    <w:rsid w:val="00F60B45"/>
    <w:rsid w:val="00F6317E"/>
    <w:rsid w:val="00F649A3"/>
    <w:rsid w:val="00F65E9A"/>
    <w:rsid w:val="00F67987"/>
    <w:rsid w:val="00F71A11"/>
    <w:rsid w:val="00F73426"/>
    <w:rsid w:val="00F7420C"/>
    <w:rsid w:val="00F802AC"/>
    <w:rsid w:val="00F80CAB"/>
    <w:rsid w:val="00F82D38"/>
    <w:rsid w:val="00F86867"/>
    <w:rsid w:val="00F923BB"/>
    <w:rsid w:val="00FA0B94"/>
    <w:rsid w:val="00FA3054"/>
    <w:rsid w:val="00FA36BA"/>
    <w:rsid w:val="00FA3A38"/>
    <w:rsid w:val="00FA47FE"/>
    <w:rsid w:val="00FA7FC0"/>
    <w:rsid w:val="00FB1902"/>
    <w:rsid w:val="00FB205C"/>
    <w:rsid w:val="00FC1B51"/>
    <w:rsid w:val="00FC7887"/>
    <w:rsid w:val="00FD1B4D"/>
    <w:rsid w:val="00FD4830"/>
    <w:rsid w:val="00FD550E"/>
    <w:rsid w:val="00FD7D7C"/>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D54"/>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641272483">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28537824">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ffen.hepp@topten.ch" TargetMode="External"/><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opten.eu/private/selection-criteria/washing-machine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4707</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5521</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127</cp:revision>
  <cp:lastPrinted>2022-03-21T14:43:00Z</cp:lastPrinted>
  <dcterms:created xsi:type="dcterms:W3CDTF">2021-06-18T09:50:00Z</dcterms:created>
  <dcterms:modified xsi:type="dcterms:W3CDTF">2022-03-21T14:43:00Z</dcterms:modified>
  <cp:category/>
</cp:coreProperties>
</file>