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14403477" w:rsidR="00303312" w:rsidRPr="00B67515" w:rsidRDefault="00B67CFD" w:rsidP="00303312">
      <w:pPr>
        <w:pStyle w:val="Header"/>
        <w:rPr>
          <w:rFonts w:ascii="Arial" w:hAnsi="Arial" w:cs="Arial"/>
          <w:sz w:val="12"/>
          <w:szCs w:val="12"/>
        </w:rPr>
      </w:pPr>
      <w:r>
        <w:rPr>
          <w:noProof/>
          <w:lang w:val="pt-PT" w:eastAsia="pt-PT"/>
        </w:rPr>
        <w:drawing>
          <wp:anchor distT="0" distB="0" distL="114300" distR="114300" simplePos="0" relativeHeight="251671040" behindDoc="0" locked="0" layoutInCell="1" allowOverlap="1" wp14:anchorId="317B9A9D" wp14:editId="0BB81391">
            <wp:simplePos x="0" y="0"/>
            <wp:positionH relativeFrom="column">
              <wp:posOffset>4219575</wp:posOffset>
            </wp:positionH>
            <wp:positionV relativeFrom="paragraph">
              <wp:posOffset>37910</wp:posOffset>
            </wp:positionV>
            <wp:extent cx="1260475" cy="973078"/>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1260475" cy="9730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70E6F1DC" w:rsidR="004D2DFC" w:rsidRPr="00B67515" w:rsidRDefault="00532515" w:rsidP="001D1304">
            <w:pPr>
              <w:pStyle w:val="Header"/>
              <w:rPr>
                <w:rFonts w:ascii="Arial" w:hAnsi="Arial"/>
                <w:sz w:val="52"/>
              </w:rPr>
            </w:pPr>
            <w:r>
              <w:rPr>
                <w:rFonts w:ascii="Arial" w:hAnsi="Arial"/>
                <w:sz w:val="52"/>
              </w:rPr>
              <w:t>Computer Monitors</w:t>
            </w:r>
          </w:p>
          <w:p w14:paraId="4DC44DBC" w14:textId="77777777" w:rsidR="004D2DFC" w:rsidRPr="00B67515" w:rsidRDefault="004D2DFC" w:rsidP="001D1304">
            <w:pPr>
              <w:pStyle w:val="Header"/>
              <w:rPr>
                <w:rFonts w:ascii="Arial" w:hAnsi="Arial"/>
                <w:sz w:val="16"/>
                <w:szCs w:val="16"/>
              </w:rPr>
            </w:pPr>
          </w:p>
          <w:p w14:paraId="7EE70D5E" w14:textId="0B55AE43" w:rsidR="004D2DFC" w:rsidRPr="00B41CD3" w:rsidRDefault="00FD680B" w:rsidP="001D1304">
            <w:pPr>
              <w:pStyle w:val="Header"/>
              <w:rPr>
                <w:rFonts w:ascii="Arial" w:hAnsi="Arial"/>
                <w:sz w:val="20"/>
              </w:rPr>
            </w:pPr>
            <w:hyperlink r:id="rId9" w:history="1">
              <w:r w:rsidR="005C522F">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1C2D631E" w:rsidR="004D2DFC" w:rsidRPr="00B67515" w:rsidRDefault="00B8371D" w:rsidP="00C068A6">
            <w:pPr>
              <w:pStyle w:val="Header"/>
              <w:ind w:hanging="89"/>
              <w:jc w:val="center"/>
            </w:pP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11E93EEA"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8E4688">
        <w:rPr>
          <w:rFonts w:ascii="Arial" w:hAnsi="Arial"/>
          <w:sz w:val="20"/>
        </w:rPr>
        <w:t xml:space="preserve">computer monitors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8E4688">
          <w:rPr>
            <w:rStyle w:val="Hyperlink"/>
            <w:rFonts w:ascii="Arial" w:hAnsi="Arial"/>
            <w:bCs/>
            <w:sz w:val="20"/>
          </w:rPr>
          <w:t>Computer Monitors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11839A5B" w14:textId="35949114" w:rsidR="00173AA2"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8E4688">
        <w:rPr>
          <w:rFonts w:ascii="Arial" w:hAnsi="Arial" w:cs="Arial"/>
          <w:sz w:val="20"/>
        </w:rPr>
        <w:t>computer monitors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E428A5">
        <w:rPr>
          <w:rFonts w:ascii="Arial" w:hAnsi="Arial" w:cs="Arial"/>
          <w:sz w:val="20"/>
        </w:rPr>
        <w:t xml:space="preserve">features </w:t>
      </w:r>
      <w:r w:rsidR="00061D12">
        <w:rPr>
          <w:rFonts w:ascii="Arial" w:hAnsi="Arial" w:cs="Arial"/>
          <w:sz w:val="20"/>
        </w:rPr>
        <w:t xml:space="preserve">models from 17 inch upwards and resolutions </w:t>
      </w:r>
      <w:r w:rsidR="0085295F">
        <w:rPr>
          <w:rFonts w:ascii="Arial" w:hAnsi="Arial" w:cs="Arial"/>
          <w:sz w:val="20"/>
        </w:rPr>
        <w:t xml:space="preserve">of Full HD </w:t>
      </w:r>
      <w:r w:rsidR="00061D12">
        <w:rPr>
          <w:rFonts w:ascii="Arial" w:hAnsi="Arial" w:cs="Arial"/>
          <w:sz w:val="20"/>
        </w:rPr>
        <w:t>and better</w:t>
      </w:r>
      <w:r w:rsidR="000E3772">
        <w:rPr>
          <w:rFonts w:ascii="Arial" w:hAnsi="Arial" w:cs="Arial"/>
          <w:sz w:val="20"/>
        </w:rPr>
        <w:t>.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5FA00A96"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Lifetime expectation: </w:t>
            </w:r>
            <w:r w:rsidR="00C74967">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1829BDC0"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Daily use: 8h in on-mode </w:t>
            </w:r>
            <w:r w:rsidR="00C74967">
              <w:rPr>
                <w:rFonts w:ascii="Arial" w:hAnsi="Arial" w:cs="Arial"/>
                <w:sz w:val="20"/>
              </w:rPr>
              <w:t>and 16h in sleep-mode</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77777777" w:rsidR="00E86CBB" w:rsidRDefault="00E86CBB" w:rsidP="00E86CBB">
      <w:pPr>
        <w:spacing w:after="0" w:line="300" w:lineRule="exact"/>
        <w:jc w:val="both"/>
        <w:rPr>
          <w:rFonts w:ascii="Arial" w:hAnsi="Arial" w:cs="Arial"/>
          <w:sz w:val="20"/>
        </w:rPr>
      </w:pPr>
    </w:p>
    <w:p w14:paraId="244808BD" w14:textId="77777777" w:rsidR="00E86CBB" w:rsidRDefault="00E86CBB" w:rsidP="00E86CBB">
      <w:pPr>
        <w:spacing w:after="0" w:line="300" w:lineRule="exact"/>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112"/>
        <w:gridCol w:w="2788"/>
        <w:gridCol w:w="3116"/>
      </w:tblGrid>
      <w:tr w:rsidR="007916A8" w:rsidRPr="00D4357A" w14:paraId="27956825" w14:textId="77777777" w:rsidTr="007916A8">
        <w:trPr>
          <w:trHeight w:val="300"/>
        </w:trPr>
        <w:tc>
          <w:tcPr>
            <w:tcW w:w="1726" w:type="pct"/>
            <w:tcBorders>
              <w:top w:val="nil"/>
              <w:left w:val="nil"/>
              <w:bottom w:val="single" w:sz="8" w:space="0" w:color="auto"/>
              <w:right w:val="single" w:sz="8" w:space="0" w:color="auto"/>
            </w:tcBorders>
            <w:shd w:val="clear" w:color="auto" w:fill="auto"/>
            <w:vAlign w:val="center"/>
            <w:hideMark/>
          </w:tcPr>
          <w:p w14:paraId="7A83FD0B" w14:textId="77777777" w:rsidR="007916A8" w:rsidRPr="00D4357A" w:rsidRDefault="007916A8"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1546" w:type="pct"/>
            <w:tcBorders>
              <w:top w:val="single" w:sz="8" w:space="0" w:color="auto"/>
              <w:left w:val="nil"/>
              <w:bottom w:val="single" w:sz="8" w:space="0" w:color="auto"/>
              <w:right w:val="single" w:sz="8" w:space="0" w:color="auto"/>
            </w:tcBorders>
            <w:shd w:val="clear" w:color="000000" w:fill="C2D69B"/>
            <w:vAlign w:val="center"/>
            <w:hideMark/>
          </w:tcPr>
          <w:p w14:paraId="348F8CA7" w14:textId="77777777" w:rsidR="007916A8" w:rsidRPr="00D4357A" w:rsidRDefault="007916A8"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1727" w:type="pct"/>
            <w:tcBorders>
              <w:top w:val="single" w:sz="8" w:space="0" w:color="auto"/>
              <w:left w:val="nil"/>
              <w:bottom w:val="single" w:sz="8" w:space="0" w:color="auto"/>
              <w:right w:val="single" w:sz="8" w:space="0" w:color="auto"/>
            </w:tcBorders>
            <w:shd w:val="clear" w:color="000000" w:fill="D99594"/>
            <w:vAlign w:val="center"/>
            <w:hideMark/>
          </w:tcPr>
          <w:p w14:paraId="0213ADAD" w14:textId="77777777" w:rsidR="007916A8" w:rsidRPr="00D4357A" w:rsidRDefault="007916A8"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r>
      <w:tr w:rsidR="007916A8" w:rsidRPr="00D4357A" w14:paraId="15077441" w14:textId="77777777" w:rsidTr="008C2A7C">
        <w:trPr>
          <w:trHeight w:val="300"/>
        </w:trPr>
        <w:tc>
          <w:tcPr>
            <w:tcW w:w="1726" w:type="pct"/>
            <w:tcBorders>
              <w:top w:val="nil"/>
              <w:left w:val="single" w:sz="8" w:space="0" w:color="auto"/>
              <w:bottom w:val="single" w:sz="8" w:space="0" w:color="auto"/>
              <w:right w:val="single" w:sz="8" w:space="0" w:color="auto"/>
            </w:tcBorders>
            <w:shd w:val="clear" w:color="auto" w:fill="auto"/>
            <w:vAlign w:val="center"/>
            <w:hideMark/>
          </w:tcPr>
          <w:p w14:paraId="29C90E30" w14:textId="4D38FB69" w:rsidR="007916A8" w:rsidRPr="007916A8" w:rsidRDefault="007916A8" w:rsidP="003F27AF">
            <w:pPr>
              <w:spacing w:after="0"/>
              <w:rPr>
                <w:rFonts w:ascii="Arial" w:hAnsi="Arial" w:cs="Arial"/>
                <w:color w:val="000000"/>
                <w:sz w:val="20"/>
                <w:lang w:val="de-DE" w:eastAsia="de-DE"/>
              </w:rPr>
            </w:pPr>
            <w:r w:rsidRPr="007916A8">
              <w:rPr>
                <w:rFonts w:ascii="Arial" w:hAnsi="Arial" w:cs="Arial"/>
                <w:color w:val="000000"/>
                <w:sz w:val="20"/>
                <w:lang w:val="de-DE" w:eastAsia="de-DE"/>
              </w:rPr>
              <w:t xml:space="preserve"> Screen diagonal</w:t>
            </w:r>
          </w:p>
        </w:tc>
        <w:tc>
          <w:tcPr>
            <w:tcW w:w="1546" w:type="pct"/>
            <w:tcBorders>
              <w:top w:val="nil"/>
              <w:left w:val="nil"/>
              <w:bottom w:val="single" w:sz="8" w:space="0" w:color="auto"/>
              <w:right w:val="single" w:sz="8" w:space="0" w:color="auto"/>
            </w:tcBorders>
            <w:shd w:val="clear" w:color="auto" w:fill="auto"/>
            <w:vAlign w:val="center"/>
            <w:hideMark/>
          </w:tcPr>
          <w:p w14:paraId="21320A80" w14:textId="33D270CD" w:rsidR="007916A8" w:rsidRPr="00D4357A" w:rsidRDefault="007916A8"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24</w:t>
            </w:r>
            <w:r w:rsidRPr="00D4357A">
              <w:rPr>
                <w:rFonts w:ascii="Arial" w:hAnsi="Arial" w:cs="Arial"/>
                <w:color w:val="000000"/>
                <w:sz w:val="20"/>
                <w:lang w:val="de-DE" w:eastAsia="de-DE"/>
              </w:rPr>
              <w:t>"</w:t>
            </w:r>
          </w:p>
        </w:tc>
        <w:tc>
          <w:tcPr>
            <w:tcW w:w="1727" w:type="pct"/>
            <w:tcBorders>
              <w:top w:val="nil"/>
              <w:left w:val="nil"/>
              <w:bottom w:val="single" w:sz="8" w:space="0" w:color="auto"/>
              <w:right w:val="single" w:sz="8" w:space="0" w:color="auto"/>
            </w:tcBorders>
            <w:shd w:val="clear" w:color="auto" w:fill="auto"/>
            <w:vAlign w:val="center"/>
            <w:hideMark/>
          </w:tcPr>
          <w:p w14:paraId="17C999C8" w14:textId="4A764CED" w:rsidR="007916A8" w:rsidRPr="00D4357A" w:rsidRDefault="007916A8"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24</w:t>
            </w:r>
            <w:r w:rsidRPr="00D4357A">
              <w:rPr>
                <w:rFonts w:ascii="Arial" w:hAnsi="Arial" w:cs="Arial"/>
                <w:color w:val="000000"/>
                <w:sz w:val="20"/>
                <w:lang w:val="de-DE" w:eastAsia="de-DE"/>
              </w:rPr>
              <w:t>"</w:t>
            </w:r>
          </w:p>
        </w:tc>
      </w:tr>
      <w:tr w:rsidR="007916A8" w:rsidRPr="00D4357A" w14:paraId="01FB70E4" w14:textId="77777777" w:rsidTr="008C2A7C">
        <w:trPr>
          <w:trHeight w:val="300"/>
        </w:trPr>
        <w:tc>
          <w:tcPr>
            <w:tcW w:w="1726" w:type="pct"/>
            <w:tcBorders>
              <w:top w:val="nil"/>
              <w:left w:val="single" w:sz="8" w:space="0" w:color="auto"/>
              <w:bottom w:val="single" w:sz="8" w:space="0" w:color="auto"/>
              <w:right w:val="single" w:sz="8" w:space="0" w:color="auto"/>
            </w:tcBorders>
            <w:shd w:val="clear" w:color="auto" w:fill="auto"/>
            <w:vAlign w:val="center"/>
            <w:hideMark/>
          </w:tcPr>
          <w:p w14:paraId="5A03A92B" w14:textId="77777777" w:rsidR="007916A8" w:rsidRPr="007916A8" w:rsidRDefault="007916A8" w:rsidP="003F27AF">
            <w:pPr>
              <w:spacing w:after="0"/>
              <w:rPr>
                <w:rFonts w:ascii="Arial" w:hAnsi="Arial" w:cs="Arial"/>
                <w:color w:val="000000"/>
                <w:sz w:val="20"/>
                <w:lang w:val="de-DE" w:eastAsia="de-DE"/>
              </w:rPr>
            </w:pPr>
            <w:r w:rsidRPr="007916A8">
              <w:rPr>
                <w:rFonts w:ascii="Arial" w:hAnsi="Arial" w:cs="Arial"/>
                <w:color w:val="000000"/>
                <w:sz w:val="20"/>
                <w:lang w:val="de-DE" w:eastAsia="de-DE"/>
              </w:rPr>
              <w:t xml:space="preserve"> Energy class</w:t>
            </w:r>
          </w:p>
        </w:tc>
        <w:tc>
          <w:tcPr>
            <w:tcW w:w="1546" w:type="pct"/>
            <w:tcBorders>
              <w:top w:val="nil"/>
              <w:left w:val="nil"/>
              <w:bottom w:val="single" w:sz="8" w:space="0" w:color="auto"/>
              <w:right w:val="single" w:sz="8" w:space="0" w:color="auto"/>
            </w:tcBorders>
            <w:shd w:val="clear" w:color="auto" w:fill="auto"/>
            <w:vAlign w:val="center"/>
            <w:hideMark/>
          </w:tcPr>
          <w:p w14:paraId="597DC25E" w14:textId="05A6F0BE" w:rsidR="007916A8" w:rsidRPr="00D4357A" w:rsidRDefault="007916A8"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D</w:t>
            </w:r>
          </w:p>
        </w:tc>
        <w:tc>
          <w:tcPr>
            <w:tcW w:w="1727" w:type="pct"/>
            <w:tcBorders>
              <w:top w:val="nil"/>
              <w:left w:val="nil"/>
              <w:bottom w:val="single" w:sz="8" w:space="0" w:color="auto"/>
              <w:right w:val="single" w:sz="8" w:space="0" w:color="auto"/>
            </w:tcBorders>
            <w:shd w:val="clear" w:color="auto" w:fill="auto"/>
            <w:vAlign w:val="center"/>
            <w:hideMark/>
          </w:tcPr>
          <w:p w14:paraId="489671A1" w14:textId="77777777" w:rsidR="007916A8" w:rsidRPr="00D4357A" w:rsidRDefault="007916A8" w:rsidP="008C2A7C">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F</w:t>
            </w:r>
          </w:p>
        </w:tc>
      </w:tr>
      <w:tr w:rsidR="007916A8" w:rsidRPr="00D4357A" w14:paraId="338A4890" w14:textId="77777777" w:rsidTr="008C2A7C">
        <w:trPr>
          <w:trHeight w:val="300"/>
        </w:trPr>
        <w:tc>
          <w:tcPr>
            <w:tcW w:w="1726" w:type="pct"/>
            <w:tcBorders>
              <w:top w:val="nil"/>
              <w:left w:val="single" w:sz="8" w:space="0" w:color="auto"/>
              <w:bottom w:val="single" w:sz="8" w:space="0" w:color="auto"/>
              <w:right w:val="single" w:sz="8" w:space="0" w:color="auto"/>
            </w:tcBorders>
            <w:shd w:val="clear" w:color="auto" w:fill="auto"/>
            <w:vAlign w:val="center"/>
            <w:hideMark/>
          </w:tcPr>
          <w:p w14:paraId="262688B0" w14:textId="274ABBAE" w:rsidR="007916A8" w:rsidRPr="007916A8" w:rsidRDefault="007916A8" w:rsidP="003F27AF">
            <w:pPr>
              <w:spacing w:after="0"/>
              <w:rPr>
                <w:rFonts w:ascii="Arial" w:hAnsi="Arial" w:cs="Arial"/>
                <w:color w:val="000000"/>
                <w:sz w:val="20"/>
                <w:lang w:val="de-DE" w:eastAsia="de-DE"/>
              </w:rPr>
            </w:pPr>
            <w:r w:rsidRPr="007916A8">
              <w:rPr>
                <w:rFonts w:ascii="Arial" w:hAnsi="Arial" w:cs="Arial"/>
                <w:color w:val="000000"/>
                <w:sz w:val="20"/>
                <w:lang w:val="de-DE" w:eastAsia="de-DE"/>
              </w:rPr>
              <w:t xml:space="preserve"> Resolution</w:t>
            </w:r>
          </w:p>
        </w:tc>
        <w:tc>
          <w:tcPr>
            <w:tcW w:w="1546" w:type="pct"/>
            <w:tcBorders>
              <w:top w:val="nil"/>
              <w:left w:val="nil"/>
              <w:bottom w:val="single" w:sz="8" w:space="0" w:color="auto"/>
              <w:right w:val="single" w:sz="8" w:space="0" w:color="auto"/>
            </w:tcBorders>
            <w:shd w:val="clear" w:color="auto" w:fill="auto"/>
            <w:vAlign w:val="center"/>
            <w:hideMark/>
          </w:tcPr>
          <w:p w14:paraId="2F5681B6" w14:textId="2C2613D9" w:rsidR="007916A8" w:rsidRPr="00D4357A" w:rsidRDefault="007916A8"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 xml:space="preserve">Full </w:t>
            </w:r>
            <w:r w:rsidRPr="00D4357A">
              <w:rPr>
                <w:rFonts w:ascii="Arial" w:hAnsi="Arial" w:cs="Arial"/>
                <w:color w:val="000000"/>
                <w:sz w:val="20"/>
                <w:lang w:val="de-DE" w:eastAsia="de-DE"/>
              </w:rPr>
              <w:t>HD</w:t>
            </w:r>
          </w:p>
        </w:tc>
        <w:tc>
          <w:tcPr>
            <w:tcW w:w="1727" w:type="pct"/>
            <w:tcBorders>
              <w:top w:val="nil"/>
              <w:left w:val="nil"/>
              <w:bottom w:val="single" w:sz="8" w:space="0" w:color="auto"/>
              <w:right w:val="single" w:sz="8" w:space="0" w:color="auto"/>
            </w:tcBorders>
            <w:shd w:val="clear" w:color="auto" w:fill="auto"/>
            <w:vAlign w:val="center"/>
            <w:hideMark/>
          </w:tcPr>
          <w:p w14:paraId="24BAEF52" w14:textId="0CD7B165" w:rsidR="007916A8" w:rsidRPr="00D4357A" w:rsidRDefault="007916A8"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 xml:space="preserve">Full </w:t>
            </w:r>
            <w:r w:rsidRPr="00D4357A">
              <w:rPr>
                <w:rFonts w:ascii="Arial" w:hAnsi="Arial" w:cs="Arial"/>
                <w:color w:val="000000"/>
                <w:sz w:val="20"/>
                <w:lang w:val="de-DE" w:eastAsia="de-DE"/>
              </w:rPr>
              <w:t>HD</w:t>
            </w:r>
          </w:p>
        </w:tc>
      </w:tr>
      <w:tr w:rsidR="007916A8" w:rsidRPr="00D4357A" w14:paraId="68935BE8" w14:textId="77777777" w:rsidTr="008C2A7C">
        <w:trPr>
          <w:trHeight w:val="300"/>
        </w:trPr>
        <w:tc>
          <w:tcPr>
            <w:tcW w:w="1726" w:type="pct"/>
            <w:tcBorders>
              <w:top w:val="nil"/>
              <w:left w:val="single" w:sz="8" w:space="0" w:color="auto"/>
              <w:bottom w:val="single" w:sz="8" w:space="0" w:color="auto"/>
              <w:right w:val="single" w:sz="8" w:space="0" w:color="auto"/>
            </w:tcBorders>
            <w:shd w:val="clear" w:color="auto" w:fill="auto"/>
            <w:vAlign w:val="center"/>
            <w:hideMark/>
          </w:tcPr>
          <w:p w14:paraId="5B0E7ED9" w14:textId="77777777" w:rsidR="007916A8" w:rsidRPr="007916A8" w:rsidRDefault="007916A8" w:rsidP="003F27AF">
            <w:pPr>
              <w:spacing w:after="0"/>
              <w:rPr>
                <w:rFonts w:ascii="Arial" w:hAnsi="Arial" w:cs="Arial"/>
                <w:color w:val="000000"/>
                <w:sz w:val="20"/>
                <w:lang w:val="de-DE" w:eastAsia="de-DE"/>
              </w:rPr>
            </w:pPr>
            <w:r w:rsidRPr="007916A8">
              <w:rPr>
                <w:rFonts w:ascii="Arial" w:hAnsi="Arial" w:cs="Arial"/>
                <w:color w:val="000000"/>
                <w:sz w:val="20"/>
                <w:lang w:val="de-DE" w:eastAsia="de-DE"/>
              </w:rPr>
              <w:t xml:space="preserve"> Electricity consumption</w:t>
            </w:r>
          </w:p>
        </w:tc>
        <w:tc>
          <w:tcPr>
            <w:tcW w:w="1546" w:type="pct"/>
            <w:tcBorders>
              <w:top w:val="nil"/>
              <w:left w:val="nil"/>
              <w:bottom w:val="single" w:sz="8" w:space="0" w:color="auto"/>
              <w:right w:val="single" w:sz="8" w:space="0" w:color="auto"/>
            </w:tcBorders>
            <w:shd w:val="clear" w:color="auto" w:fill="auto"/>
            <w:vAlign w:val="center"/>
            <w:hideMark/>
          </w:tcPr>
          <w:p w14:paraId="5625300F" w14:textId="60DAB39C" w:rsidR="007916A8" w:rsidRPr="00D4357A" w:rsidRDefault="007916A8" w:rsidP="008C2A7C">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3</w:t>
            </w:r>
            <w:r>
              <w:rPr>
                <w:rFonts w:ascii="Arial" w:hAnsi="Arial" w:cs="Arial"/>
                <w:color w:val="000000"/>
                <w:sz w:val="20"/>
                <w:lang w:val="de-DE" w:eastAsia="de-DE"/>
              </w:rPr>
              <w:t>3</w:t>
            </w:r>
            <w:r w:rsidRPr="00D4357A">
              <w:rPr>
                <w:rFonts w:ascii="Arial" w:hAnsi="Arial" w:cs="Arial"/>
                <w:color w:val="000000"/>
                <w:sz w:val="20"/>
                <w:lang w:val="de-DE" w:eastAsia="de-DE"/>
              </w:rPr>
              <w:t xml:space="preserve"> kWh</w:t>
            </w:r>
            <w:r>
              <w:rPr>
                <w:rFonts w:ascii="Arial" w:hAnsi="Arial" w:cs="Arial"/>
                <w:color w:val="000000"/>
                <w:sz w:val="20"/>
                <w:lang w:val="de-DE" w:eastAsia="de-DE"/>
              </w:rPr>
              <w:t xml:space="preserve"> </w:t>
            </w:r>
            <w:r w:rsidRPr="00D4357A">
              <w:rPr>
                <w:rFonts w:ascii="Arial" w:hAnsi="Arial" w:cs="Arial"/>
                <w:color w:val="000000"/>
                <w:sz w:val="20"/>
                <w:lang w:val="de-DE" w:eastAsia="de-DE"/>
              </w:rPr>
              <w:t>/</w:t>
            </w:r>
            <w:r>
              <w:rPr>
                <w:rFonts w:ascii="Arial" w:hAnsi="Arial" w:cs="Arial"/>
                <w:color w:val="000000"/>
                <w:sz w:val="20"/>
                <w:lang w:val="de-DE" w:eastAsia="de-DE"/>
              </w:rPr>
              <w:t xml:space="preserve"> year</w:t>
            </w:r>
          </w:p>
        </w:tc>
        <w:tc>
          <w:tcPr>
            <w:tcW w:w="1727" w:type="pct"/>
            <w:tcBorders>
              <w:top w:val="nil"/>
              <w:left w:val="nil"/>
              <w:bottom w:val="single" w:sz="8" w:space="0" w:color="auto"/>
              <w:right w:val="single" w:sz="8" w:space="0" w:color="auto"/>
            </w:tcBorders>
            <w:shd w:val="clear" w:color="auto" w:fill="auto"/>
            <w:vAlign w:val="center"/>
            <w:hideMark/>
          </w:tcPr>
          <w:p w14:paraId="6BB1987F" w14:textId="69C5B5C2" w:rsidR="007916A8" w:rsidRPr="00D4357A" w:rsidRDefault="007916A8" w:rsidP="008C2A7C">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48 kWh</w:t>
            </w:r>
            <w:r>
              <w:rPr>
                <w:rFonts w:ascii="Arial" w:hAnsi="Arial" w:cs="Arial"/>
                <w:color w:val="000000"/>
                <w:sz w:val="20"/>
                <w:lang w:val="de-DE" w:eastAsia="de-DE"/>
              </w:rPr>
              <w:t xml:space="preserve"> </w:t>
            </w:r>
            <w:r w:rsidRPr="00D4357A">
              <w:rPr>
                <w:rFonts w:ascii="Arial" w:hAnsi="Arial" w:cs="Arial"/>
                <w:color w:val="000000"/>
                <w:sz w:val="20"/>
                <w:lang w:val="de-DE" w:eastAsia="de-DE"/>
              </w:rPr>
              <w:t>/</w:t>
            </w:r>
            <w:r>
              <w:rPr>
                <w:rFonts w:ascii="Arial" w:hAnsi="Arial" w:cs="Arial"/>
                <w:color w:val="000000"/>
                <w:sz w:val="20"/>
                <w:lang w:val="de-DE" w:eastAsia="de-DE"/>
              </w:rPr>
              <w:t xml:space="preserve"> year</w:t>
            </w:r>
          </w:p>
        </w:tc>
      </w:tr>
      <w:tr w:rsidR="007916A8" w:rsidRPr="00D4357A" w14:paraId="6465482A" w14:textId="77777777" w:rsidTr="008C2A7C">
        <w:trPr>
          <w:trHeight w:val="300"/>
        </w:trPr>
        <w:tc>
          <w:tcPr>
            <w:tcW w:w="1726" w:type="pct"/>
            <w:tcBorders>
              <w:top w:val="nil"/>
              <w:left w:val="single" w:sz="8" w:space="0" w:color="auto"/>
              <w:bottom w:val="single" w:sz="12" w:space="0" w:color="auto"/>
              <w:right w:val="single" w:sz="8" w:space="0" w:color="auto"/>
            </w:tcBorders>
            <w:shd w:val="clear" w:color="auto" w:fill="auto"/>
            <w:vAlign w:val="center"/>
            <w:hideMark/>
          </w:tcPr>
          <w:p w14:paraId="7839C4B8" w14:textId="4CA73737" w:rsidR="007916A8" w:rsidRPr="007916A8" w:rsidRDefault="007916A8" w:rsidP="003F27AF">
            <w:pPr>
              <w:spacing w:after="0"/>
              <w:rPr>
                <w:rFonts w:ascii="Arial" w:hAnsi="Arial" w:cs="Arial"/>
                <w:color w:val="000000"/>
                <w:sz w:val="20"/>
                <w:lang w:val="en-US" w:eastAsia="de-DE"/>
              </w:rPr>
            </w:pPr>
            <w:r w:rsidRPr="007916A8">
              <w:rPr>
                <w:rFonts w:ascii="Arial" w:hAnsi="Arial" w:cs="Arial"/>
                <w:color w:val="000000"/>
                <w:sz w:val="20"/>
                <w:lang w:val="en-US" w:eastAsia="de-DE"/>
              </w:rPr>
              <w:t xml:space="preserve"> Use cost (electricity in </w:t>
            </w:r>
            <w:r>
              <w:rPr>
                <w:rFonts w:ascii="Arial" w:hAnsi="Arial" w:cs="Arial"/>
                <w:color w:val="000000"/>
                <w:sz w:val="20"/>
                <w:lang w:val="en-US" w:eastAsia="de-DE"/>
              </w:rPr>
              <w:t>5</w:t>
            </w:r>
            <w:r w:rsidRPr="007916A8">
              <w:rPr>
                <w:rFonts w:ascii="Arial" w:hAnsi="Arial" w:cs="Arial"/>
                <w:color w:val="000000"/>
                <w:sz w:val="20"/>
                <w:lang w:val="en-US" w:eastAsia="de-DE"/>
              </w:rPr>
              <w:t xml:space="preserve"> years)</w:t>
            </w:r>
          </w:p>
        </w:tc>
        <w:tc>
          <w:tcPr>
            <w:tcW w:w="1546" w:type="pct"/>
            <w:tcBorders>
              <w:top w:val="nil"/>
              <w:left w:val="nil"/>
              <w:bottom w:val="single" w:sz="12" w:space="0" w:color="auto"/>
              <w:right w:val="single" w:sz="8" w:space="0" w:color="auto"/>
            </w:tcBorders>
            <w:shd w:val="clear" w:color="auto" w:fill="auto"/>
            <w:vAlign w:val="center"/>
            <w:hideMark/>
          </w:tcPr>
          <w:p w14:paraId="5B3CC732" w14:textId="2EAA03C3" w:rsidR="007916A8" w:rsidRPr="00D4357A" w:rsidRDefault="00703D01"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33</w:t>
            </w:r>
            <w:r w:rsidR="007916A8" w:rsidRPr="00D4357A">
              <w:rPr>
                <w:rFonts w:ascii="Arial" w:hAnsi="Arial" w:cs="Arial"/>
                <w:color w:val="000000"/>
                <w:sz w:val="20"/>
                <w:lang w:val="de-DE" w:eastAsia="de-DE"/>
              </w:rPr>
              <w:t xml:space="preserve"> €</w:t>
            </w:r>
          </w:p>
        </w:tc>
        <w:tc>
          <w:tcPr>
            <w:tcW w:w="1727" w:type="pct"/>
            <w:tcBorders>
              <w:top w:val="nil"/>
              <w:left w:val="nil"/>
              <w:bottom w:val="single" w:sz="12" w:space="0" w:color="auto"/>
              <w:right w:val="single" w:sz="8" w:space="0" w:color="auto"/>
            </w:tcBorders>
            <w:shd w:val="clear" w:color="auto" w:fill="auto"/>
            <w:vAlign w:val="center"/>
            <w:hideMark/>
          </w:tcPr>
          <w:p w14:paraId="45B2A8D9" w14:textId="15A48F36" w:rsidR="007916A8" w:rsidRPr="00D4357A" w:rsidRDefault="00703D01" w:rsidP="008C2A7C">
            <w:pPr>
              <w:spacing w:after="0"/>
              <w:jc w:val="center"/>
              <w:rPr>
                <w:rFonts w:ascii="Arial" w:hAnsi="Arial" w:cs="Arial"/>
                <w:color w:val="000000"/>
                <w:sz w:val="20"/>
                <w:lang w:val="de-DE" w:eastAsia="de-DE"/>
              </w:rPr>
            </w:pPr>
            <w:r>
              <w:rPr>
                <w:rFonts w:ascii="Arial" w:hAnsi="Arial" w:cs="Arial"/>
                <w:color w:val="000000"/>
                <w:sz w:val="20"/>
                <w:lang w:val="de-DE" w:eastAsia="de-DE"/>
              </w:rPr>
              <w:t>48</w:t>
            </w:r>
            <w:r w:rsidR="007916A8" w:rsidRPr="00D4357A">
              <w:rPr>
                <w:rFonts w:ascii="Arial" w:hAnsi="Arial" w:cs="Arial"/>
                <w:color w:val="000000"/>
                <w:sz w:val="20"/>
                <w:lang w:val="de-DE" w:eastAsia="de-DE"/>
              </w:rPr>
              <w:t xml:space="preserve"> €</w:t>
            </w:r>
          </w:p>
        </w:tc>
      </w:tr>
      <w:tr w:rsidR="007916A8" w:rsidRPr="00D4357A" w14:paraId="29F89167" w14:textId="77777777" w:rsidTr="007916A8">
        <w:trPr>
          <w:trHeight w:val="630"/>
        </w:trPr>
        <w:tc>
          <w:tcPr>
            <w:tcW w:w="1726" w:type="pct"/>
            <w:tcBorders>
              <w:top w:val="nil"/>
              <w:left w:val="single" w:sz="8" w:space="0" w:color="auto"/>
              <w:bottom w:val="single" w:sz="8" w:space="0" w:color="auto"/>
              <w:right w:val="single" w:sz="8" w:space="0" w:color="auto"/>
            </w:tcBorders>
            <w:shd w:val="clear" w:color="000000" w:fill="C2D69B"/>
            <w:vAlign w:val="center"/>
            <w:hideMark/>
          </w:tcPr>
          <w:p w14:paraId="1C8E6587" w14:textId="16E8CED9" w:rsidR="007916A8" w:rsidRPr="007916A8" w:rsidRDefault="007916A8" w:rsidP="003F27AF">
            <w:pPr>
              <w:spacing w:after="0"/>
              <w:jc w:val="center"/>
              <w:rPr>
                <w:rFonts w:ascii="Arial" w:hAnsi="Arial" w:cs="Arial"/>
                <w:color w:val="000000"/>
                <w:sz w:val="20"/>
                <w:lang w:val="de-DE" w:eastAsia="de-DE"/>
              </w:rPr>
            </w:pPr>
            <w:r w:rsidRPr="007916A8">
              <w:rPr>
                <w:rFonts w:ascii="Arial" w:hAnsi="Arial" w:cs="Arial"/>
                <w:color w:val="000000"/>
                <w:sz w:val="20"/>
                <w:lang w:val="de-DE" w:eastAsia="de-DE"/>
              </w:rPr>
              <w:t xml:space="preserve">Savings in </w:t>
            </w:r>
            <w:r w:rsidR="00E80599">
              <w:rPr>
                <w:rFonts w:ascii="Arial" w:hAnsi="Arial" w:cs="Arial"/>
                <w:color w:val="000000"/>
                <w:sz w:val="20"/>
                <w:lang w:val="de-DE" w:eastAsia="de-DE"/>
              </w:rPr>
              <w:t>5</w:t>
            </w:r>
            <w:r w:rsidRPr="007916A8">
              <w:rPr>
                <w:rFonts w:ascii="Arial" w:hAnsi="Arial" w:cs="Arial"/>
                <w:color w:val="000000"/>
                <w:sz w:val="20"/>
                <w:lang w:val="de-DE" w:eastAsia="de-DE"/>
              </w:rPr>
              <w:t xml:space="preserve"> years</w:t>
            </w:r>
          </w:p>
        </w:tc>
        <w:tc>
          <w:tcPr>
            <w:tcW w:w="3274" w:type="pct"/>
            <w:gridSpan w:val="2"/>
            <w:tcBorders>
              <w:top w:val="nil"/>
              <w:left w:val="nil"/>
              <w:bottom w:val="single" w:sz="8" w:space="0" w:color="auto"/>
              <w:right w:val="single" w:sz="8" w:space="0" w:color="000000"/>
            </w:tcBorders>
            <w:shd w:val="clear" w:color="000000" w:fill="C2D69B"/>
            <w:vAlign w:val="center"/>
            <w:hideMark/>
          </w:tcPr>
          <w:p w14:paraId="1DD99F99" w14:textId="472B534E" w:rsidR="007916A8" w:rsidRPr="00D4357A" w:rsidRDefault="00CA6DA4" w:rsidP="003F27AF">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69</w:t>
            </w:r>
            <w:r w:rsidR="007916A8" w:rsidRPr="00D4357A">
              <w:rPr>
                <w:rFonts w:ascii="Arial" w:hAnsi="Arial" w:cs="Arial"/>
                <w:b/>
                <w:bCs/>
                <w:color w:val="000000"/>
                <w:sz w:val="20"/>
                <w:lang w:val="de-DE" w:eastAsia="de-DE"/>
              </w:rPr>
              <w:t>% energy / unit</w:t>
            </w:r>
            <w:r w:rsidR="007916A8" w:rsidRPr="00D4357A">
              <w:rPr>
                <w:rFonts w:ascii="Arial" w:hAnsi="Arial" w:cs="Arial"/>
                <w:b/>
                <w:bCs/>
                <w:color w:val="000000"/>
                <w:sz w:val="20"/>
                <w:lang w:val="de-DE" w:eastAsia="de-DE"/>
              </w:rPr>
              <w:br/>
            </w:r>
            <w:r w:rsidR="007916A8" w:rsidRPr="003D7BFB">
              <w:rPr>
                <w:rFonts w:ascii="Arial" w:hAnsi="Arial" w:cs="Arial"/>
                <w:b/>
                <w:sz w:val="20"/>
              </w:rPr>
              <w:sym w:font="Wingdings" w:char="F0F0"/>
            </w:r>
            <w:r w:rsidR="007916A8" w:rsidRPr="00D4357A">
              <w:rPr>
                <w:rFonts w:ascii="Arial" w:hAnsi="Arial" w:cs="Arial"/>
                <w:b/>
                <w:bCs/>
                <w:color w:val="000000"/>
                <w:sz w:val="20"/>
                <w:lang w:val="de-DE" w:eastAsia="de-DE"/>
              </w:rPr>
              <w:t xml:space="preserve"> </w:t>
            </w:r>
            <w:r>
              <w:rPr>
                <w:rFonts w:ascii="Arial" w:hAnsi="Arial" w:cs="Arial"/>
                <w:b/>
                <w:bCs/>
                <w:color w:val="000000"/>
                <w:sz w:val="20"/>
                <w:lang w:val="de-DE" w:eastAsia="de-DE"/>
              </w:rPr>
              <w:t>15</w:t>
            </w:r>
            <w:r w:rsidR="007916A8" w:rsidRPr="00D4357A">
              <w:rPr>
                <w:rFonts w:ascii="Arial" w:hAnsi="Arial" w:cs="Arial"/>
                <w:b/>
                <w:bCs/>
                <w:color w:val="000000"/>
                <w:sz w:val="20"/>
                <w:lang w:val="de-DE" w:eastAsia="de-DE"/>
              </w:rPr>
              <w:t xml:space="preserve"> € / unit</w:t>
            </w:r>
          </w:p>
        </w:tc>
      </w:tr>
    </w:tbl>
    <w:p w14:paraId="3FEEE4B9" w14:textId="77777777" w:rsidR="00E86CBB" w:rsidRDefault="00E86CBB" w:rsidP="00E86CBB">
      <w:pPr>
        <w:spacing w:after="0" w:line="300" w:lineRule="exact"/>
        <w:jc w:val="both"/>
        <w:rPr>
          <w:rFonts w:ascii="Arial" w:hAnsi="Arial" w:cs="Arial"/>
          <w:sz w:val="20"/>
        </w:rPr>
      </w:pPr>
    </w:p>
    <w:p w14:paraId="551DF43D" w14:textId="5BBA81D4" w:rsidR="00632AC3" w:rsidRDefault="00B469FB" w:rsidP="00E86CBB">
      <w:pPr>
        <w:spacing w:after="0" w:line="300" w:lineRule="exact"/>
        <w:jc w:val="both"/>
        <w:rPr>
          <w:rFonts w:ascii="Arial" w:hAnsi="Arial" w:cs="Arial"/>
          <w:sz w:val="20"/>
        </w:rPr>
      </w:pPr>
      <w:r w:rsidRPr="00B469FB">
        <w:rPr>
          <w:rFonts w:ascii="Arial" w:hAnsi="Arial" w:cs="Arial"/>
          <w:sz w:val="20"/>
        </w:rPr>
        <w:t xml:space="preserve">Differences in electricity consumption between inefficient and Topten models rise as the screen size enlarges, leading to higher energy savings and consequently greater money savings. As the example </w:t>
      </w:r>
      <w:r>
        <w:rPr>
          <w:rFonts w:ascii="Arial" w:hAnsi="Arial" w:cs="Arial"/>
          <w:sz w:val="20"/>
        </w:rPr>
        <w:lastRenderedPageBreak/>
        <w:t xml:space="preserve">above </w:t>
      </w:r>
      <w:r w:rsidRPr="00B469FB">
        <w:rPr>
          <w:rFonts w:ascii="Arial" w:hAnsi="Arial" w:cs="Arial"/>
          <w:sz w:val="20"/>
        </w:rPr>
        <w:t>shows, total savings can reach almost 70%</w:t>
      </w:r>
      <w:r>
        <w:rPr>
          <w:rFonts w:ascii="Arial" w:hAnsi="Arial" w:cs="Arial"/>
          <w:sz w:val="20"/>
        </w:rPr>
        <w:t xml:space="preserve"> </w:t>
      </w:r>
      <w:r w:rsidRPr="00B469FB">
        <w:rPr>
          <w:rFonts w:ascii="Arial" w:hAnsi="Arial" w:cs="Arial"/>
          <w:sz w:val="20"/>
        </w:rPr>
        <w:t>reduction</w:t>
      </w:r>
      <w:r>
        <w:rPr>
          <w:rFonts w:ascii="Arial" w:hAnsi="Arial" w:cs="Arial"/>
          <w:sz w:val="20"/>
        </w:rPr>
        <w:t xml:space="preserve"> of energy costs</w:t>
      </w:r>
      <w:r w:rsidRPr="00B469FB">
        <w:rPr>
          <w:rFonts w:ascii="Arial" w:hAnsi="Arial" w:cs="Arial"/>
          <w:sz w:val="20"/>
        </w:rPr>
        <w:t>, and they should be multiplied by the number of units included in the tender.</w:t>
      </w:r>
    </w:p>
    <w:p w14:paraId="07275F9F" w14:textId="5282E306" w:rsidR="006C4216" w:rsidRDefault="008E29EA" w:rsidP="00173AA2">
      <w:pPr>
        <w:spacing w:after="0" w:line="300" w:lineRule="exact"/>
        <w:jc w:val="both"/>
        <w:rPr>
          <w:rFonts w:ascii="Arial" w:hAnsi="Arial" w:cs="Arial"/>
          <w:sz w:val="20"/>
        </w:rPr>
      </w:pPr>
      <w:r>
        <w:rPr>
          <w:rFonts w:ascii="Arial" w:hAnsi="Arial" w:cs="Arial"/>
          <w:sz w:val="20"/>
        </w:rPr>
        <w:t>Th</w:t>
      </w:r>
      <w:r w:rsidR="00B120EC">
        <w:rPr>
          <w:rFonts w:ascii="Arial" w:hAnsi="Arial" w:cs="Arial"/>
          <w:sz w:val="20"/>
        </w:rPr>
        <w:t>e</w:t>
      </w:r>
      <w:r w:rsidR="00FB47D7">
        <w:rPr>
          <w:rFonts w:ascii="Arial" w:hAnsi="Arial" w:cs="Arial"/>
          <w:sz w:val="20"/>
        </w:rPr>
        <w:t xml:space="preserve"> example</w:t>
      </w:r>
      <w:r>
        <w:rPr>
          <w:rFonts w:ascii="Arial" w:hAnsi="Arial" w:cs="Arial"/>
          <w:sz w:val="20"/>
        </w:rPr>
        <w:t xml:space="preserve"> is based on </w:t>
      </w:r>
      <w:r w:rsidR="00B120EC">
        <w:rPr>
          <w:rFonts w:ascii="Arial" w:hAnsi="Arial" w:cs="Arial"/>
          <w:sz w:val="20"/>
        </w:rPr>
        <w:t>a typical m</w:t>
      </w:r>
      <w:r w:rsidR="00E002C8">
        <w:rPr>
          <w:rFonts w:ascii="Arial" w:hAnsi="Arial" w:cs="Arial"/>
          <w:sz w:val="20"/>
        </w:rPr>
        <w:t>onitor used in the office environm</w:t>
      </w:r>
      <w:r>
        <w:rPr>
          <w:rFonts w:ascii="Arial" w:hAnsi="Arial" w:cs="Arial"/>
          <w:sz w:val="20"/>
        </w:rPr>
        <w:t xml:space="preserve">ent </w:t>
      </w:r>
      <w:r w:rsidR="00B120EC">
        <w:rPr>
          <w:rFonts w:ascii="Arial" w:hAnsi="Arial" w:cs="Arial"/>
          <w:sz w:val="20"/>
        </w:rPr>
        <w:t>with full HD resolution (1,920 x 1,080 pixels) and a screen size of 24 inches.</w:t>
      </w:r>
    </w:p>
    <w:p w14:paraId="49EBBB96" w14:textId="77777777" w:rsidR="00F241D4" w:rsidRDefault="00F241D4" w:rsidP="00173AA2">
      <w:pPr>
        <w:spacing w:after="0" w:line="300" w:lineRule="exact"/>
        <w:jc w:val="both"/>
        <w:rPr>
          <w:rFonts w:ascii="Arial" w:hAnsi="Arial" w:cs="Arial"/>
          <w:sz w:val="20"/>
        </w:rPr>
      </w:pPr>
    </w:p>
    <w:p w14:paraId="04AB231D" w14:textId="56833C34" w:rsidR="001C1F5F" w:rsidRDefault="001E544D" w:rsidP="00173AA2">
      <w:pPr>
        <w:spacing w:after="0" w:line="300" w:lineRule="exact"/>
        <w:jc w:val="both"/>
        <w:rPr>
          <w:rFonts w:ascii="Arial" w:hAnsi="Arial" w:cs="Arial"/>
          <w:sz w:val="20"/>
        </w:rPr>
      </w:pPr>
      <w:r>
        <w:rPr>
          <w:rFonts w:ascii="Arial" w:hAnsi="Arial" w:cs="Arial"/>
          <w:sz w:val="20"/>
        </w:rPr>
        <w:t xml:space="preserve">Computer monitors with higher resolutions, </w:t>
      </w:r>
      <w:r w:rsidR="0002331B">
        <w:rPr>
          <w:rFonts w:ascii="Arial" w:hAnsi="Arial" w:cs="Arial"/>
          <w:sz w:val="20"/>
        </w:rPr>
        <w:t>for example</w:t>
      </w:r>
      <w:r w:rsidR="00533D77">
        <w:rPr>
          <w:rFonts w:ascii="Arial" w:hAnsi="Arial" w:cs="Arial"/>
          <w:sz w:val="20"/>
        </w:rPr>
        <w:t>,</w:t>
      </w:r>
      <w:r>
        <w:rPr>
          <w:rFonts w:ascii="Arial" w:hAnsi="Arial" w:cs="Arial"/>
          <w:sz w:val="20"/>
        </w:rPr>
        <w:t xml:space="preserve"> WQHD (2560 x 1440p) and 4K (3840 x 2160p), currently constitute for </w:t>
      </w:r>
      <w:r w:rsidR="00BB1075">
        <w:rPr>
          <w:rFonts w:ascii="Arial" w:hAnsi="Arial" w:cs="Arial"/>
          <w:sz w:val="20"/>
        </w:rPr>
        <w:t xml:space="preserve">only approx. </w:t>
      </w:r>
      <w:r>
        <w:rPr>
          <w:rFonts w:ascii="Arial" w:hAnsi="Arial" w:cs="Arial"/>
          <w:sz w:val="20"/>
        </w:rPr>
        <w:t xml:space="preserve">20% and 10% of models offered on the market. </w:t>
      </w:r>
      <w:r w:rsidR="00B46246">
        <w:rPr>
          <w:rFonts w:ascii="Arial" w:hAnsi="Arial" w:cs="Arial"/>
          <w:sz w:val="20"/>
        </w:rPr>
        <w:t>The</w:t>
      </w:r>
      <w:r w:rsidR="00426C75">
        <w:rPr>
          <w:rFonts w:ascii="Arial" w:hAnsi="Arial" w:cs="Arial"/>
          <w:sz w:val="20"/>
        </w:rPr>
        <w:t xml:space="preserve">ir </w:t>
      </w:r>
      <w:r w:rsidR="00B46246">
        <w:rPr>
          <w:rFonts w:ascii="Arial" w:hAnsi="Arial" w:cs="Arial"/>
          <w:sz w:val="20"/>
        </w:rPr>
        <w:t xml:space="preserve">main </w:t>
      </w:r>
      <w:r w:rsidR="009228B3">
        <w:rPr>
          <w:rFonts w:ascii="Arial" w:hAnsi="Arial" w:cs="Arial"/>
          <w:sz w:val="20"/>
        </w:rPr>
        <w:t xml:space="preserve">utilization </w:t>
      </w:r>
      <w:r w:rsidR="00B46246">
        <w:rPr>
          <w:rFonts w:ascii="Arial" w:hAnsi="Arial" w:cs="Arial"/>
          <w:sz w:val="20"/>
        </w:rPr>
        <w:t>is private use</w:t>
      </w:r>
      <w:r w:rsidR="00426C75">
        <w:rPr>
          <w:rFonts w:ascii="Arial" w:hAnsi="Arial" w:cs="Arial"/>
          <w:sz w:val="20"/>
        </w:rPr>
        <w:t xml:space="preserve"> for gaming </w:t>
      </w:r>
      <w:r w:rsidR="00907CCB">
        <w:rPr>
          <w:rFonts w:ascii="Arial" w:hAnsi="Arial" w:cs="Arial"/>
          <w:sz w:val="20"/>
        </w:rPr>
        <w:t>and</w:t>
      </w:r>
      <w:r w:rsidR="00426C75">
        <w:rPr>
          <w:rFonts w:ascii="Arial" w:hAnsi="Arial" w:cs="Arial"/>
          <w:sz w:val="20"/>
        </w:rPr>
        <w:t xml:space="preserve"> entertainment.</w:t>
      </w:r>
      <w:r w:rsidR="002F641E">
        <w:rPr>
          <w:rFonts w:ascii="Arial" w:hAnsi="Arial" w:cs="Arial"/>
          <w:sz w:val="20"/>
        </w:rPr>
        <w:t xml:space="preserve"> </w:t>
      </w:r>
      <w:r w:rsidR="00F62490">
        <w:rPr>
          <w:rFonts w:ascii="Arial" w:hAnsi="Arial" w:cs="Arial"/>
          <w:sz w:val="20"/>
        </w:rPr>
        <w:t>In the commercial space they are usally found with website designers, software programmers, and photo and video edit</w:t>
      </w:r>
      <w:r w:rsidR="00DC487C">
        <w:rPr>
          <w:rFonts w:ascii="Arial" w:hAnsi="Arial" w:cs="Arial"/>
          <w:sz w:val="20"/>
        </w:rPr>
        <w:t>ors.</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346FB18E"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0CE50513"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AD374F">
        <w:rPr>
          <w:rFonts w:ascii="Arial" w:hAnsi="Arial" w:cs="Arial"/>
          <w:b/>
          <w:smallCaps/>
          <w:szCs w:val="24"/>
        </w:rPr>
        <w:t>computer monitors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7C0CC02F" w:rsidR="00E86CBB" w:rsidRPr="007C630C" w:rsidRDefault="007C630C" w:rsidP="007C630C">
      <w:pPr>
        <w:pStyle w:val="ListParagraph"/>
        <w:numPr>
          <w:ilvl w:val="0"/>
          <w:numId w:val="17"/>
        </w:numPr>
        <w:spacing w:after="0" w:line="300" w:lineRule="exact"/>
        <w:jc w:val="both"/>
        <w:rPr>
          <w:rFonts w:ascii="Arial" w:hAnsi="Arial" w:cs="Arial"/>
          <w:b/>
          <w:sz w:val="20"/>
        </w:rPr>
      </w:pPr>
      <w:r>
        <w:rPr>
          <w:rFonts w:ascii="Arial" w:hAnsi="Arial" w:cs="Arial"/>
          <w:b/>
          <w:sz w:val="20"/>
        </w:rPr>
        <w:t xml:space="preserve">EU </w:t>
      </w:r>
      <w:r w:rsidR="00E86CBB" w:rsidRPr="007C630C">
        <w:rPr>
          <w:rFonts w:ascii="Arial" w:hAnsi="Arial" w:cs="Arial"/>
          <w:b/>
          <w:sz w:val="20"/>
        </w:rPr>
        <w:t xml:space="preserve">Energy </w:t>
      </w:r>
      <w:r>
        <w:rPr>
          <w:rFonts w:ascii="Arial" w:hAnsi="Arial" w:cs="Arial"/>
          <w:b/>
          <w:sz w:val="20"/>
        </w:rPr>
        <w:t>Label</w:t>
      </w:r>
    </w:p>
    <w:p w14:paraId="64A08812" w14:textId="3FAF1032" w:rsidR="00E86CBB" w:rsidRPr="00660638" w:rsidRDefault="004A0899" w:rsidP="00E86CBB">
      <w:pPr>
        <w:spacing w:line="300" w:lineRule="exact"/>
        <w:jc w:val="both"/>
        <w:rPr>
          <w:rFonts w:ascii="Arial" w:hAnsi="Arial" w:cs="Arial"/>
          <w:sz w:val="20"/>
        </w:rPr>
      </w:pPr>
      <w:r>
        <w:rPr>
          <w:rFonts w:ascii="Arial" w:hAnsi="Arial" w:cs="Arial"/>
          <w:sz w:val="20"/>
        </w:rPr>
        <w:t xml:space="preserve">Computer monitors </w:t>
      </w:r>
      <w:r w:rsidR="00E86CBB" w:rsidRPr="00660638">
        <w:rPr>
          <w:rFonts w:ascii="Arial" w:hAnsi="Arial" w:cs="Arial"/>
          <w:sz w:val="20"/>
        </w:rPr>
        <w:t xml:space="preserve">must have energy efficiency class </w:t>
      </w:r>
      <w:r w:rsidR="00C35E93">
        <w:rPr>
          <w:rFonts w:ascii="Arial" w:hAnsi="Arial" w:cs="Arial"/>
          <w:sz w:val="20"/>
        </w:rPr>
        <w:t>E</w:t>
      </w:r>
      <w:r w:rsidR="00E86CBB" w:rsidRPr="00660638">
        <w:rPr>
          <w:rFonts w:ascii="Arial" w:hAnsi="Arial" w:cs="Arial"/>
          <w:sz w:val="20"/>
        </w:rPr>
        <w:t xml:space="preserve"> or better (efficiency index &lt; 0.</w:t>
      </w:r>
      <w:r w:rsidR="00C35E93">
        <w:rPr>
          <w:rFonts w:ascii="Arial" w:hAnsi="Arial" w:cs="Arial"/>
          <w:sz w:val="20"/>
        </w:rPr>
        <w:t>75</w:t>
      </w:r>
      <w:r w:rsidR="00E86CBB" w:rsidRPr="00660638">
        <w:rPr>
          <w:rFonts w:ascii="Arial" w:hAnsi="Arial" w:cs="Arial"/>
          <w:sz w:val="20"/>
        </w:rPr>
        <w:t>), declared in agreement with the European Energy Label.</w:t>
      </w:r>
    </w:p>
    <w:p w14:paraId="7D90F63F" w14:textId="707E6F95" w:rsidR="00E86CBB" w:rsidRDefault="00E86CBB" w:rsidP="00E86CBB">
      <w:pPr>
        <w:spacing w:after="0" w:line="300" w:lineRule="exact"/>
        <w:jc w:val="both"/>
        <w:rPr>
          <w:rFonts w:ascii="Arial" w:hAnsi="Arial" w:cs="Arial"/>
          <w:bCs/>
          <w:sz w:val="20"/>
        </w:rPr>
      </w:pPr>
      <w:r w:rsidRPr="005858AE">
        <w:rPr>
          <w:rFonts w:ascii="Arial" w:hAnsi="Arial" w:cs="Arial"/>
          <w:bCs/>
          <w:sz w:val="20"/>
        </w:rPr>
        <w:t xml:space="preserve">This </w:t>
      </w:r>
      <w:r>
        <w:rPr>
          <w:rFonts w:ascii="Arial" w:hAnsi="Arial" w:cs="Arial"/>
          <w:bCs/>
          <w:sz w:val="20"/>
        </w:rPr>
        <w:t xml:space="preserve">applies to all </w:t>
      </w:r>
      <w:r w:rsidR="004A0899">
        <w:rPr>
          <w:rFonts w:ascii="Arial" w:hAnsi="Arial" w:cs="Arial"/>
          <w:bCs/>
          <w:sz w:val="20"/>
        </w:rPr>
        <w:t xml:space="preserve">monitors </w:t>
      </w:r>
      <w:r>
        <w:rPr>
          <w:rFonts w:ascii="Arial" w:hAnsi="Arial" w:cs="Arial"/>
          <w:bCs/>
          <w:sz w:val="20"/>
        </w:rPr>
        <w:t>independent of their resolution</w:t>
      </w:r>
      <w:r w:rsidR="007572F0">
        <w:rPr>
          <w:rFonts w:ascii="Arial" w:hAnsi="Arial" w:cs="Arial"/>
          <w:bCs/>
          <w:sz w:val="20"/>
        </w:rPr>
        <w:t xml:space="preserve"> and size.</w:t>
      </w:r>
    </w:p>
    <w:p w14:paraId="3D43DBAD" w14:textId="77777777" w:rsidR="00E86CBB" w:rsidRDefault="00E86CBB" w:rsidP="00E86CBB">
      <w:pPr>
        <w:spacing w:after="0" w:line="300" w:lineRule="exact"/>
        <w:jc w:val="both"/>
        <w:rPr>
          <w:rFonts w:ascii="Arial" w:hAnsi="Arial" w:cs="Arial"/>
          <w:bCs/>
          <w:sz w:val="20"/>
        </w:rPr>
      </w:pPr>
    </w:p>
    <w:p w14:paraId="5EC0C337" w14:textId="77777777" w:rsidR="00235343" w:rsidRDefault="00E86CBB" w:rsidP="00235343">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6863FBD3" w:rsidR="00E86CBB" w:rsidRDefault="00E86CBB" w:rsidP="00235343">
      <w:pPr>
        <w:spacing w:line="300" w:lineRule="exact"/>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Pr>
          <w:rFonts w:ascii="Arial" w:hAnsi="Arial" w:cs="Arial"/>
          <w:snapToGrid w:val="0"/>
          <w:color w:val="000000"/>
          <w:sz w:val="20"/>
          <w:lang w:eastAsia="en-US"/>
        </w:rPr>
        <w:t xml:space="preserve">2019/2021 </w:t>
      </w:r>
      <w:r w:rsidRPr="0094762B">
        <w:rPr>
          <w:rFonts w:ascii="Arial" w:hAnsi="Arial" w:cs="Arial"/>
          <w:snapToGrid w:val="0"/>
          <w:color w:val="000000"/>
          <w:sz w:val="20"/>
          <w:lang w:eastAsia="en-US"/>
        </w:rPr>
        <w:t xml:space="preserve">and No. </w:t>
      </w:r>
      <w:r>
        <w:rPr>
          <w:rFonts w:ascii="Arial" w:hAnsi="Arial" w:cs="Arial"/>
          <w:snapToGrid w:val="0"/>
          <w:color w:val="000000"/>
          <w:sz w:val="20"/>
          <w:lang w:eastAsia="en-US"/>
        </w:rPr>
        <w:t>2019/2013</w:t>
      </w:r>
      <w:r w:rsidRPr="0094762B">
        <w:rPr>
          <w:rFonts w:ascii="Arial" w:hAnsi="Arial" w:cs="Arial"/>
          <w:snapToGrid w:val="0"/>
          <w:color w:val="000000"/>
          <w:sz w:val="20"/>
          <w:lang w:eastAsia="en-US"/>
        </w:rPr>
        <w:t>.</w:t>
      </w:r>
    </w:p>
    <w:p w14:paraId="5D6648E5" w14:textId="1E5DF340" w:rsidR="007C630C" w:rsidRPr="00235343" w:rsidRDefault="007C630C" w:rsidP="00235343">
      <w:pPr>
        <w:spacing w:line="300" w:lineRule="exact"/>
        <w:rPr>
          <w:rFonts w:ascii="Arial" w:hAnsi="Arial" w:cs="Arial"/>
          <w:b/>
          <w:i/>
          <w:snapToGrid w:val="0"/>
          <w:color w:val="000000"/>
          <w:sz w:val="20"/>
          <w:lang w:eastAsia="en-US"/>
        </w:rPr>
      </w:pPr>
    </w:p>
    <w:p w14:paraId="6A0A52A6" w14:textId="29119F58" w:rsidR="001B00B7" w:rsidRDefault="001B00B7">
      <w:pPr>
        <w:spacing w:after="0"/>
        <w:rPr>
          <w:rFonts w:ascii="Arial" w:hAnsi="Arial" w:cs="Arial"/>
          <w:smallCaps/>
          <w:szCs w:val="24"/>
          <w:u w:val="single"/>
        </w:rPr>
      </w:pPr>
      <w:r>
        <w:rPr>
          <w:rFonts w:ascii="Arial" w:hAnsi="Arial" w:cs="Arial"/>
          <w:smallCaps/>
          <w:szCs w:val="24"/>
          <w:u w:val="single"/>
        </w:rPr>
        <w:br w:type="page"/>
      </w:r>
    </w:p>
    <w:p w14:paraId="241AC22C" w14:textId="77777777" w:rsidR="001B00B7" w:rsidRDefault="001B00B7" w:rsidP="00566E91">
      <w:pPr>
        <w:spacing w:after="240" w:line="300" w:lineRule="exact"/>
        <w:rPr>
          <w:rFonts w:ascii="Arial" w:hAnsi="Arial" w:cs="Arial"/>
          <w:smallCaps/>
          <w:szCs w:val="24"/>
          <w:u w:val="single"/>
        </w:rPr>
      </w:pPr>
    </w:p>
    <w:p w14:paraId="0AF4B925" w14:textId="3A5F1190" w:rsidR="00566E91" w:rsidRPr="00B67515" w:rsidRDefault="003C09C6" w:rsidP="00566E91">
      <w:pPr>
        <w:spacing w:after="240" w:line="300" w:lineRule="exact"/>
        <w:rPr>
          <w:rFonts w:ascii="Arial" w:hAnsi="Arial" w:cs="Arial"/>
          <w:smallCaps/>
          <w:szCs w:val="24"/>
          <w:u w:val="single"/>
        </w:rPr>
      </w:pPr>
      <w:r>
        <w:rPr>
          <w:noProof/>
        </w:rPr>
        <mc:AlternateContent>
          <mc:Choice Requires="wps">
            <w:drawing>
              <wp:anchor distT="0" distB="0" distL="114300" distR="114300" simplePos="0" relativeHeight="251673088" behindDoc="0" locked="0" layoutInCell="1" allowOverlap="1" wp14:anchorId="03C8D9E5" wp14:editId="5E90D0AC">
                <wp:simplePos x="0" y="0"/>
                <wp:positionH relativeFrom="margin">
                  <wp:posOffset>251460</wp:posOffset>
                </wp:positionH>
                <wp:positionV relativeFrom="paragraph">
                  <wp:posOffset>433070</wp:posOffset>
                </wp:positionV>
                <wp:extent cx="5152390"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52390" cy="389255"/>
                        </a:xfrm>
                        <a:prstGeom prst="rect">
                          <a:avLst/>
                        </a:prstGeom>
                        <a:solidFill>
                          <a:prstClr val="white"/>
                        </a:solidFill>
                        <a:ln>
                          <a:noFill/>
                        </a:ln>
                      </wps:spPr>
                      <wps:txbx>
                        <w:txbxContent>
                          <w:p w14:paraId="32FC9DF5" w14:textId="52E7E810" w:rsidR="001B00B7" w:rsidRPr="001B00B7" w:rsidRDefault="001B00B7" w:rsidP="001B00B7">
                            <w:pPr>
                              <w:pStyle w:val="Caption"/>
                              <w:jc w:val="center"/>
                              <w:rPr>
                                <w:rFonts w:ascii="Arial" w:hAnsi="Arial" w:cs="Arial"/>
                                <w:noProof/>
                                <w:sz w:val="24"/>
                              </w:rPr>
                            </w:pPr>
                            <w:r w:rsidRPr="001B00B7">
                              <w:rPr>
                                <w:rFonts w:ascii="Arial" w:hAnsi="Arial" w:cs="Arial"/>
                              </w:rPr>
                              <w:t xml:space="preserve">Table </w:t>
                            </w:r>
                            <w:r w:rsidRPr="001B00B7">
                              <w:rPr>
                                <w:rFonts w:ascii="Arial" w:hAnsi="Arial" w:cs="Arial"/>
                              </w:rPr>
                              <w:fldChar w:fldCharType="begin"/>
                            </w:r>
                            <w:r w:rsidRPr="001B00B7">
                              <w:rPr>
                                <w:rFonts w:ascii="Arial" w:hAnsi="Arial" w:cs="Arial"/>
                              </w:rPr>
                              <w:instrText xml:space="preserve"> SEQ Table \* ARABIC </w:instrText>
                            </w:r>
                            <w:r w:rsidRPr="001B00B7">
                              <w:rPr>
                                <w:rFonts w:ascii="Arial" w:hAnsi="Arial" w:cs="Arial"/>
                              </w:rPr>
                              <w:fldChar w:fldCharType="separate"/>
                            </w:r>
                            <w:r w:rsidR="00F3358A">
                              <w:rPr>
                                <w:rFonts w:ascii="Arial" w:hAnsi="Arial" w:cs="Arial"/>
                                <w:noProof/>
                              </w:rPr>
                              <w:t>1</w:t>
                            </w:r>
                            <w:r w:rsidRPr="001B00B7">
                              <w:rPr>
                                <w:rFonts w:ascii="Arial" w:hAnsi="Arial" w:cs="Arial"/>
                              </w:rPr>
                              <w:fldChar w:fldCharType="end"/>
                            </w:r>
                            <w:r w:rsidRPr="001B00B7">
                              <w:rPr>
                                <w:rFonts w:ascii="Arial" w:hAnsi="Arial" w:cs="Arial"/>
                              </w:rPr>
                              <w:t>: Overview of energy classes allowed on the European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8D9E5" id="_x0000_t202" coordsize="21600,21600" o:spt="202" path="m,l,21600r21600,l21600,xe">
                <v:stroke joinstyle="miter"/>
                <v:path gradientshapeok="t" o:connecttype="rect"/>
              </v:shapetype>
              <v:shape id="Text Box 1" o:spid="_x0000_s1026" type="#_x0000_t202" style="position:absolute;margin-left:19.8pt;margin-top:34.1pt;width:405.7pt;height:30.6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" stroked="f">
                <v:textbox inset="0,0,0,0">
                  <w:txbxContent>
                    <w:p w14:paraId="32FC9DF5" w14:textId="52E7E810" w:rsidR="001B00B7" w:rsidRPr="001B00B7" w:rsidRDefault="001B00B7" w:rsidP="001B00B7">
                      <w:pPr>
                        <w:pStyle w:val="Caption"/>
                        <w:jc w:val="center"/>
                        <w:rPr>
                          <w:rFonts w:ascii="Arial" w:hAnsi="Arial" w:cs="Arial"/>
                          <w:noProof/>
                          <w:sz w:val="24"/>
                        </w:rPr>
                      </w:pPr>
                      <w:r w:rsidRPr="001B00B7">
                        <w:rPr>
                          <w:rFonts w:ascii="Arial" w:hAnsi="Arial" w:cs="Arial"/>
                        </w:rPr>
                        <w:t xml:space="preserve">Table </w:t>
                      </w:r>
                      <w:r w:rsidRPr="001B00B7">
                        <w:rPr>
                          <w:rFonts w:ascii="Arial" w:hAnsi="Arial" w:cs="Arial"/>
                        </w:rPr>
                        <w:fldChar w:fldCharType="begin"/>
                      </w:r>
                      <w:r w:rsidRPr="001B00B7">
                        <w:rPr>
                          <w:rFonts w:ascii="Arial" w:hAnsi="Arial" w:cs="Arial"/>
                        </w:rPr>
                        <w:instrText xml:space="preserve"> SEQ Table \* ARABIC </w:instrText>
                      </w:r>
                      <w:r w:rsidRPr="001B00B7">
                        <w:rPr>
                          <w:rFonts w:ascii="Arial" w:hAnsi="Arial" w:cs="Arial"/>
                        </w:rPr>
                        <w:fldChar w:fldCharType="separate"/>
                      </w:r>
                      <w:r w:rsidR="00F3358A">
                        <w:rPr>
                          <w:rFonts w:ascii="Arial" w:hAnsi="Arial" w:cs="Arial"/>
                          <w:noProof/>
                        </w:rPr>
                        <w:t>1</w:t>
                      </w:r>
                      <w:r w:rsidRPr="001B00B7">
                        <w:rPr>
                          <w:rFonts w:ascii="Arial" w:hAnsi="Arial" w:cs="Arial"/>
                        </w:rPr>
                        <w:fldChar w:fldCharType="end"/>
                      </w:r>
                      <w:r w:rsidRPr="001B00B7">
                        <w:rPr>
                          <w:rFonts w:ascii="Arial" w:hAnsi="Arial" w:cs="Arial"/>
                        </w:rPr>
                        <w:t>: Overview of energy classes allowed on the European market</w:t>
                      </w:r>
                    </w:p>
                  </w:txbxContent>
                </v:textbox>
                <w10:wrap type="square" anchorx="margin"/>
              </v:shape>
            </w:pict>
          </mc:Fallback>
        </mc:AlternateContent>
      </w:r>
      <w:r w:rsidR="000A39CB">
        <w:rPr>
          <w:rFonts w:ascii="Arial" w:hAnsi="Arial" w:cs="Arial"/>
          <w:smallCaps/>
          <w:szCs w:val="24"/>
          <w:u w:val="single"/>
        </w:rPr>
        <w:t>Additional Information</w:t>
      </w:r>
    </w:p>
    <w:p w14:paraId="04C62538" w14:textId="16B4A124" w:rsidR="003C09C6" w:rsidRDefault="003C09C6" w:rsidP="00E86CBB">
      <w:pPr>
        <w:spacing w:line="300" w:lineRule="exact"/>
        <w:jc w:val="both"/>
        <w:rPr>
          <w:rFonts w:ascii="Arial" w:hAnsi="Arial" w:cs="Arial"/>
          <w:sz w:val="20"/>
        </w:rPr>
      </w:pPr>
    </w:p>
    <w:tbl>
      <w:tblPr>
        <w:tblpPr w:leftFromText="141" w:rightFromText="141" w:vertAnchor="page" w:horzAnchor="margin" w:tblpY="3601"/>
        <w:tblW w:w="5000" w:type="pct"/>
        <w:tblCellMar>
          <w:left w:w="57" w:type="dxa"/>
          <w:right w:w="57" w:type="dxa"/>
        </w:tblCellMar>
        <w:tblLook w:val="04A0" w:firstRow="1" w:lastRow="0" w:firstColumn="1" w:lastColumn="0" w:noHBand="0" w:noVBand="1"/>
      </w:tblPr>
      <w:tblGrid>
        <w:gridCol w:w="3754"/>
        <w:gridCol w:w="2617"/>
        <w:gridCol w:w="2635"/>
      </w:tblGrid>
      <w:tr w:rsidR="00B83E47" w14:paraId="728BEAD4" w14:textId="77777777" w:rsidTr="00657949">
        <w:trPr>
          <w:trHeight w:val="1040"/>
        </w:trPr>
        <w:tc>
          <w:tcPr>
            <w:tcW w:w="2084" w:type="pct"/>
            <w:vMerge w:val="restart"/>
            <w:tcBorders>
              <w:top w:val="single" w:sz="8" w:space="0" w:color="auto"/>
              <w:left w:val="single" w:sz="8" w:space="0" w:color="auto"/>
              <w:bottom w:val="single" w:sz="8" w:space="0" w:color="auto"/>
              <w:right w:val="single" w:sz="8" w:space="0" w:color="000000"/>
            </w:tcBorders>
            <w:shd w:val="clear" w:color="auto" w:fill="FFFFFF" w:themeFill="background1"/>
            <w:hideMark/>
          </w:tcPr>
          <w:p w14:paraId="762B6DDB" w14:textId="77777777" w:rsidR="00B83E47" w:rsidRDefault="00B83E47" w:rsidP="00657949">
            <w:pPr>
              <w:spacing w:after="0"/>
              <w:jc w:val="center"/>
              <w:rPr>
                <w:rFonts w:ascii="Arial" w:hAnsi="Arial" w:cs="Arial"/>
                <w:b/>
                <w:bCs/>
                <w:color w:val="000000"/>
                <w:sz w:val="20"/>
                <w:lang w:val="pt-PT"/>
              </w:rPr>
            </w:pPr>
            <w:r>
              <w:rPr>
                <w:noProof/>
                <w:lang w:val="pt-PT"/>
              </w:rPr>
              <w:drawing>
                <wp:inline distT="0" distB="0" distL="0" distR="0" wp14:anchorId="1A2364EB" wp14:editId="5AE33EC5">
                  <wp:extent cx="2249149" cy="4486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stretch>
                            <a:fillRect/>
                          </a:stretch>
                        </pic:blipFill>
                        <pic:spPr bwMode="auto">
                          <a:xfrm>
                            <a:off x="0" y="0"/>
                            <a:ext cx="2249149" cy="4486910"/>
                          </a:xfrm>
                          <a:prstGeom prst="rect">
                            <a:avLst/>
                          </a:prstGeom>
                          <a:noFill/>
                          <a:ln>
                            <a:noFill/>
                          </a:ln>
                        </pic:spPr>
                      </pic:pic>
                    </a:graphicData>
                  </a:graphic>
                </wp:inline>
              </w:drawing>
            </w:r>
          </w:p>
        </w:tc>
        <w:tc>
          <w:tcPr>
            <w:tcW w:w="2916" w:type="pct"/>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7B226BBB" w14:textId="77777777" w:rsidR="00B83E47" w:rsidRDefault="00B83E47" w:rsidP="00657949">
            <w:pPr>
              <w:spacing w:after="0"/>
              <w:jc w:val="center"/>
              <w:rPr>
                <w:rFonts w:ascii="Arial" w:hAnsi="Arial" w:cs="Arial"/>
                <w:b/>
                <w:bCs/>
                <w:color w:val="000000"/>
                <w:sz w:val="20"/>
                <w:lang w:val="de-DE" w:eastAsia="de-DE"/>
              </w:rPr>
            </w:pPr>
            <w:r>
              <w:rPr>
                <w:rFonts w:ascii="Arial" w:hAnsi="Arial" w:cs="Arial"/>
                <w:b/>
                <w:bCs/>
                <w:color w:val="000000"/>
                <w:sz w:val="20"/>
                <w:lang w:val="pt-PT"/>
              </w:rPr>
              <w:t>Commission Delegated Regulation nº 2019/2013</w:t>
            </w:r>
          </w:p>
        </w:tc>
      </w:tr>
      <w:tr w:rsidR="00B83E47" w14:paraId="54F0FF5B" w14:textId="77777777" w:rsidTr="00657949">
        <w:trPr>
          <w:trHeight w:val="790"/>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7CBCB7A1"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shd w:val="clear" w:color="auto" w:fill="D9D9D9"/>
            <w:vAlign w:val="center"/>
            <w:hideMark/>
          </w:tcPr>
          <w:p w14:paraId="6EDD9BFD" w14:textId="77777777" w:rsidR="00B83E47" w:rsidRDefault="00B83E47" w:rsidP="00657949">
            <w:pPr>
              <w:jc w:val="center"/>
              <w:rPr>
                <w:rFonts w:ascii="Arial" w:hAnsi="Arial" w:cs="Arial"/>
                <w:b/>
                <w:bCs/>
                <w:color w:val="000000"/>
                <w:sz w:val="20"/>
                <w:lang w:val="pt-PT"/>
              </w:rPr>
            </w:pPr>
            <w:r>
              <w:rPr>
                <w:rFonts w:ascii="Arial" w:hAnsi="Arial" w:cs="Arial"/>
                <w:b/>
                <w:bCs/>
                <w:color w:val="000000"/>
                <w:sz w:val="20"/>
                <w:lang w:val="pt-PT"/>
              </w:rPr>
              <w:t>Energy efficiency class</w:t>
            </w:r>
          </w:p>
        </w:tc>
        <w:tc>
          <w:tcPr>
            <w:tcW w:w="1463" w:type="pct"/>
            <w:tcBorders>
              <w:top w:val="nil"/>
              <w:left w:val="nil"/>
              <w:bottom w:val="single" w:sz="8" w:space="0" w:color="auto"/>
              <w:right w:val="single" w:sz="8" w:space="0" w:color="auto"/>
            </w:tcBorders>
            <w:shd w:val="clear" w:color="auto" w:fill="D9D9D9"/>
            <w:vAlign w:val="center"/>
            <w:hideMark/>
          </w:tcPr>
          <w:p w14:paraId="46B62688" w14:textId="77777777" w:rsidR="00B83E47" w:rsidRDefault="00B83E47" w:rsidP="00657949">
            <w:pPr>
              <w:jc w:val="center"/>
              <w:rPr>
                <w:rFonts w:ascii="Arial" w:hAnsi="Arial" w:cs="Arial"/>
                <w:b/>
                <w:bCs/>
                <w:color w:val="000000"/>
                <w:sz w:val="20"/>
                <w:lang w:val="pt-PT"/>
              </w:rPr>
            </w:pPr>
            <w:r>
              <w:rPr>
                <w:rFonts w:ascii="Arial" w:hAnsi="Arial" w:cs="Arial"/>
                <w:b/>
                <w:bCs/>
                <w:color w:val="000000"/>
                <w:sz w:val="20"/>
                <w:lang w:val="pt-PT"/>
              </w:rPr>
              <w:t>Energy efficiency index</w:t>
            </w:r>
          </w:p>
        </w:tc>
      </w:tr>
      <w:tr w:rsidR="00B83E47" w14:paraId="3846276D"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3C8118A1"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vAlign w:val="center"/>
            <w:hideMark/>
          </w:tcPr>
          <w:p w14:paraId="3F9AB8C6" w14:textId="77777777" w:rsidR="00B83E47" w:rsidRDefault="00B83E47" w:rsidP="00657949">
            <w:pPr>
              <w:spacing w:after="0"/>
              <w:jc w:val="center"/>
              <w:rPr>
                <w:rFonts w:ascii="Arial" w:hAnsi="Arial" w:cs="Arial"/>
                <w:color w:val="000000"/>
                <w:sz w:val="20"/>
                <w:lang w:val="pt-PT"/>
              </w:rPr>
            </w:pPr>
            <w:r>
              <w:rPr>
                <w:rFonts w:ascii="Arial" w:hAnsi="Arial"/>
                <w:color w:val="000000"/>
                <w:sz w:val="20"/>
              </w:rPr>
              <w:t>A</w:t>
            </w:r>
          </w:p>
        </w:tc>
        <w:tc>
          <w:tcPr>
            <w:tcW w:w="1463" w:type="pct"/>
            <w:tcBorders>
              <w:top w:val="nil"/>
              <w:left w:val="nil"/>
              <w:bottom w:val="single" w:sz="8" w:space="0" w:color="auto"/>
              <w:right w:val="single" w:sz="8" w:space="0" w:color="auto"/>
            </w:tcBorders>
            <w:vAlign w:val="center"/>
            <w:hideMark/>
          </w:tcPr>
          <w:p w14:paraId="2DAF4711"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EEI &lt; 0,30</w:t>
            </w:r>
          </w:p>
        </w:tc>
      </w:tr>
      <w:tr w:rsidR="00B83E47" w14:paraId="01721F9B"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766348AD"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vAlign w:val="center"/>
            <w:hideMark/>
          </w:tcPr>
          <w:p w14:paraId="59E80B02" w14:textId="77777777" w:rsidR="00B83E47" w:rsidRDefault="00B83E47" w:rsidP="00657949">
            <w:pPr>
              <w:spacing w:after="0"/>
              <w:jc w:val="center"/>
              <w:rPr>
                <w:rFonts w:ascii="Arial" w:hAnsi="Arial" w:cs="Arial"/>
                <w:color w:val="000000"/>
                <w:sz w:val="20"/>
                <w:lang w:val="pt-PT"/>
              </w:rPr>
            </w:pPr>
            <w:r>
              <w:rPr>
                <w:rFonts w:ascii="Arial" w:hAnsi="Arial"/>
                <w:color w:val="000000"/>
                <w:sz w:val="20"/>
              </w:rPr>
              <w:t>B</w:t>
            </w:r>
          </w:p>
        </w:tc>
        <w:tc>
          <w:tcPr>
            <w:tcW w:w="1463" w:type="pct"/>
            <w:tcBorders>
              <w:top w:val="nil"/>
              <w:left w:val="nil"/>
              <w:bottom w:val="single" w:sz="8" w:space="0" w:color="auto"/>
              <w:right w:val="single" w:sz="8" w:space="0" w:color="auto"/>
            </w:tcBorders>
            <w:vAlign w:val="center"/>
            <w:hideMark/>
          </w:tcPr>
          <w:p w14:paraId="35FB36CD"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0,30 ≤ EEI &lt; 0,40</w:t>
            </w:r>
          </w:p>
        </w:tc>
      </w:tr>
      <w:tr w:rsidR="00B83E47" w14:paraId="2D9B90E9"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12333B94"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vAlign w:val="center"/>
            <w:hideMark/>
          </w:tcPr>
          <w:p w14:paraId="52814E12" w14:textId="77777777" w:rsidR="00B83E47" w:rsidRDefault="00B83E47" w:rsidP="00657949">
            <w:pPr>
              <w:spacing w:after="0"/>
              <w:jc w:val="center"/>
              <w:rPr>
                <w:rFonts w:ascii="Arial" w:hAnsi="Arial" w:cs="Arial"/>
                <w:color w:val="000000"/>
                <w:sz w:val="20"/>
                <w:lang w:val="pt-PT"/>
              </w:rPr>
            </w:pPr>
            <w:r>
              <w:rPr>
                <w:rFonts w:ascii="Arial" w:hAnsi="Arial"/>
                <w:color w:val="000000"/>
                <w:sz w:val="20"/>
              </w:rPr>
              <w:t>C</w:t>
            </w:r>
          </w:p>
        </w:tc>
        <w:tc>
          <w:tcPr>
            <w:tcW w:w="1463" w:type="pct"/>
            <w:tcBorders>
              <w:top w:val="nil"/>
              <w:left w:val="nil"/>
              <w:bottom w:val="single" w:sz="8" w:space="0" w:color="auto"/>
              <w:right w:val="single" w:sz="8" w:space="0" w:color="auto"/>
            </w:tcBorders>
            <w:vAlign w:val="center"/>
            <w:hideMark/>
          </w:tcPr>
          <w:p w14:paraId="459CDB72"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 xml:space="preserve">0,40 </w:t>
            </w:r>
            <w:r>
              <w:rPr>
                <w:rFonts w:ascii="Verdana" w:hAnsi="Verdana" w:cs="Arial"/>
                <w:color w:val="000000"/>
                <w:sz w:val="20"/>
              </w:rPr>
              <w:t>≤</w:t>
            </w:r>
            <w:r>
              <w:rPr>
                <w:rFonts w:ascii="Arial" w:hAnsi="Arial" w:cs="Arial"/>
                <w:color w:val="000000"/>
                <w:sz w:val="20"/>
              </w:rPr>
              <w:t xml:space="preserve"> EEI &lt; 0,50</w:t>
            </w:r>
          </w:p>
        </w:tc>
      </w:tr>
      <w:tr w:rsidR="00B83E47" w14:paraId="5F2403A4"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44131515"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vAlign w:val="center"/>
            <w:hideMark/>
          </w:tcPr>
          <w:p w14:paraId="2B1CA9B0" w14:textId="77777777" w:rsidR="00B83E47" w:rsidRDefault="00B83E47" w:rsidP="00657949">
            <w:pPr>
              <w:spacing w:after="0"/>
              <w:jc w:val="center"/>
              <w:rPr>
                <w:rFonts w:ascii="Arial" w:hAnsi="Arial" w:cs="Arial"/>
                <w:color w:val="000000"/>
                <w:sz w:val="20"/>
                <w:lang w:val="pt-PT"/>
              </w:rPr>
            </w:pPr>
            <w:r>
              <w:rPr>
                <w:rFonts w:ascii="Arial" w:hAnsi="Arial"/>
                <w:color w:val="000000"/>
                <w:sz w:val="20"/>
              </w:rPr>
              <w:t>D</w:t>
            </w:r>
          </w:p>
        </w:tc>
        <w:tc>
          <w:tcPr>
            <w:tcW w:w="1463" w:type="pct"/>
            <w:tcBorders>
              <w:top w:val="nil"/>
              <w:left w:val="nil"/>
              <w:bottom w:val="single" w:sz="8" w:space="0" w:color="auto"/>
              <w:right w:val="single" w:sz="8" w:space="0" w:color="auto"/>
            </w:tcBorders>
            <w:vAlign w:val="center"/>
            <w:hideMark/>
          </w:tcPr>
          <w:p w14:paraId="05A67D5D"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 xml:space="preserve">0,50 </w:t>
            </w:r>
            <w:r>
              <w:rPr>
                <w:rFonts w:ascii="Verdana" w:hAnsi="Verdana" w:cs="Arial"/>
                <w:color w:val="000000"/>
                <w:sz w:val="20"/>
              </w:rPr>
              <w:t>≤</w:t>
            </w:r>
            <w:r>
              <w:rPr>
                <w:rFonts w:ascii="Arial" w:hAnsi="Arial" w:cs="Arial"/>
                <w:color w:val="000000"/>
                <w:sz w:val="20"/>
              </w:rPr>
              <w:t xml:space="preserve"> EEI &lt; 0,60</w:t>
            </w:r>
          </w:p>
        </w:tc>
      </w:tr>
      <w:tr w:rsidR="00B83E47" w14:paraId="455086F6"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03ACA6E3"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vAlign w:val="center"/>
            <w:hideMark/>
          </w:tcPr>
          <w:p w14:paraId="118B130E" w14:textId="77777777" w:rsidR="00B83E47" w:rsidRDefault="00B83E47" w:rsidP="00657949">
            <w:pPr>
              <w:spacing w:after="0"/>
              <w:jc w:val="center"/>
              <w:rPr>
                <w:rFonts w:ascii="Arial" w:hAnsi="Arial" w:cs="Arial"/>
                <w:color w:val="000000"/>
                <w:sz w:val="20"/>
                <w:lang w:val="pt-PT"/>
              </w:rPr>
            </w:pPr>
            <w:r>
              <w:rPr>
                <w:rFonts w:ascii="Arial" w:hAnsi="Arial"/>
                <w:color w:val="000000"/>
                <w:sz w:val="20"/>
              </w:rPr>
              <w:t>E</w:t>
            </w:r>
          </w:p>
        </w:tc>
        <w:tc>
          <w:tcPr>
            <w:tcW w:w="1463" w:type="pct"/>
            <w:tcBorders>
              <w:top w:val="nil"/>
              <w:left w:val="nil"/>
              <w:bottom w:val="single" w:sz="8" w:space="0" w:color="auto"/>
              <w:right w:val="single" w:sz="8" w:space="0" w:color="auto"/>
            </w:tcBorders>
            <w:vAlign w:val="center"/>
            <w:hideMark/>
          </w:tcPr>
          <w:p w14:paraId="1F66C998"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 xml:space="preserve">0,60 </w:t>
            </w:r>
            <w:r>
              <w:rPr>
                <w:rFonts w:ascii="Verdana" w:hAnsi="Verdana" w:cs="Arial"/>
                <w:color w:val="000000"/>
                <w:sz w:val="20"/>
              </w:rPr>
              <w:t>≤</w:t>
            </w:r>
            <w:r>
              <w:rPr>
                <w:rFonts w:ascii="Arial" w:hAnsi="Arial" w:cs="Arial"/>
                <w:color w:val="000000"/>
                <w:sz w:val="20"/>
              </w:rPr>
              <w:t xml:space="preserve"> EEI &lt; 0,75</w:t>
            </w:r>
          </w:p>
        </w:tc>
      </w:tr>
      <w:tr w:rsidR="00B83E47" w14:paraId="1C9EC7D0"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3D5674CB"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8" w:space="0" w:color="auto"/>
              <w:right w:val="single" w:sz="8" w:space="0" w:color="auto"/>
            </w:tcBorders>
            <w:vAlign w:val="center"/>
            <w:hideMark/>
          </w:tcPr>
          <w:p w14:paraId="38CB5907"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lang w:val="pt-PT"/>
              </w:rPr>
              <w:t>F</w:t>
            </w:r>
          </w:p>
        </w:tc>
        <w:tc>
          <w:tcPr>
            <w:tcW w:w="1463" w:type="pct"/>
            <w:tcBorders>
              <w:top w:val="nil"/>
              <w:left w:val="nil"/>
              <w:bottom w:val="single" w:sz="8" w:space="0" w:color="auto"/>
              <w:right w:val="single" w:sz="8" w:space="0" w:color="auto"/>
            </w:tcBorders>
            <w:vAlign w:val="center"/>
            <w:hideMark/>
          </w:tcPr>
          <w:p w14:paraId="6C232DBE"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 xml:space="preserve">0,75 </w:t>
            </w:r>
            <w:r>
              <w:rPr>
                <w:rFonts w:ascii="Verdana" w:hAnsi="Verdana" w:cs="Arial"/>
                <w:color w:val="000000"/>
                <w:sz w:val="20"/>
              </w:rPr>
              <w:t>≤</w:t>
            </w:r>
            <w:r>
              <w:rPr>
                <w:rFonts w:ascii="Arial" w:hAnsi="Arial" w:cs="Arial"/>
                <w:color w:val="000000"/>
                <w:sz w:val="20"/>
              </w:rPr>
              <w:t xml:space="preserve"> EEI &lt; 0,90</w:t>
            </w:r>
          </w:p>
        </w:tc>
      </w:tr>
      <w:tr w:rsidR="00B83E47" w14:paraId="1F7E55C3" w14:textId="77777777" w:rsidTr="00657949">
        <w:trPr>
          <w:trHeight w:val="652"/>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12643EB9" w14:textId="77777777" w:rsidR="00B83E47" w:rsidRDefault="00B83E47" w:rsidP="00657949">
            <w:pPr>
              <w:spacing w:after="0"/>
              <w:rPr>
                <w:rFonts w:ascii="Arial" w:hAnsi="Arial" w:cs="Arial"/>
                <w:b/>
                <w:bCs/>
                <w:color w:val="000000"/>
                <w:sz w:val="20"/>
                <w:lang w:val="pt-PT"/>
              </w:rPr>
            </w:pPr>
          </w:p>
        </w:tc>
        <w:tc>
          <w:tcPr>
            <w:tcW w:w="1453" w:type="pct"/>
            <w:tcBorders>
              <w:top w:val="nil"/>
              <w:left w:val="single" w:sz="8" w:space="0" w:color="000000"/>
              <w:bottom w:val="single" w:sz="4" w:space="0" w:color="auto"/>
              <w:right w:val="single" w:sz="8" w:space="0" w:color="auto"/>
            </w:tcBorders>
            <w:vAlign w:val="center"/>
            <w:hideMark/>
          </w:tcPr>
          <w:p w14:paraId="2AC6EF9D"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lang w:val="pt-PT"/>
              </w:rPr>
              <w:t>G</w:t>
            </w:r>
          </w:p>
        </w:tc>
        <w:tc>
          <w:tcPr>
            <w:tcW w:w="1463" w:type="pct"/>
            <w:tcBorders>
              <w:top w:val="nil"/>
              <w:left w:val="nil"/>
              <w:bottom w:val="single" w:sz="4" w:space="0" w:color="auto"/>
              <w:right w:val="single" w:sz="8" w:space="0" w:color="auto"/>
            </w:tcBorders>
            <w:vAlign w:val="center"/>
            <w:hideMark/>
          </w:tcPr>
          <w:p w14:paraId="2CE31A8D" w14:textId="77777777" w:rsidR="00B83E47" w:rsidRDefault="00B83E47" w:rsidP="00657949">
            <w:pPr>
              <w:spacing w:after="0"/>
              <w:jc w:val="center"/>
              <w:rPr>
                <w:rFonts w:ascii="Arial" w:hAnsi="Arial" w:cs="Arial"/>
                <w:color w:val="000000"/>
                <w:sz w:val="20"/>
                <w:lang w:val="pt-PT"/>
              </w:rPr>
            </w:pPr>
            <w:r>
              <w:rPr>
                <w:rFonts w:ascii="Arial" w:hAnsi="Arial" w:cs="Arial"/>
                <w:color w:val="000000"/>
                <w:sz w:val="20"/>
              </w:rPr>
              <w:t xml:space="preserve">0,90 </w:t>
            </w:r>
            <w:r>
              <w:rPr>
                <w:rFonts w:ascii="Verdana" w:hAnsi="Verdana" w:cs="Arial"/>
                <w:color w:val="000000"/>
                <w:sz w:val="20"/>
              </w:rPr>
              <w:t>≤</w:t>
            </w:r>
            <w:r>
              <w:rPr>
                <w:rFonts w:ascii="Arial" w:hAnsi="Arial" w:cs="Arial"/>
                <w:color w:val="000000"/>
                <w:sz w:val="20"/>
              </w:rPr>
              <w:t xml:space="preserve"> EEI</w:t>
            </w:r>
          </w:p>
        </w:tc>
      </w:tr>
      <w:tr w:rsidR="00B83E47" w14:paraId="51072500" w14:textId="77777777" w:rsidTr="00657949">
        <w:trPr>
          <w:trHeight w:val="310"/>
        </w:trPr>
        <w:tc>
          <w:tcPr>
            <w:tcW w:w="0" w:type="auto"/>
            <w:vMerge/>
            <w:tcBorders>
              <w:top w:val="single" w:sz="8" w:space="0" w:color="auto"/>
              <w:left w:val="single" w:sz="8" w:space="0" w:color="auto"/>
              <w:bottom w:val="single" w:sz="8" w:space="0" w:color="auto"/>
              <w:right w:val="single" w:sz="8" w:space="0" w:color="000000"/>
            </w:tcBorders>
            <w:vAlign w:val="center"/>
            <w:hideMark/>
          </w:tcPr>
          <w:p w14:paraId="4CACD8B4" w14:textId="77777777" w:rsidR="00B83E47" w:rsidRDefault="00B83E47" w:rsidP="00657949">
            <w:pPr>
              <w:spacing w:after="0"/>
              <w:rPr>
                <w:rFonts w:ascii="Arial" w:hAnsi="Arial" w:cs="Arial"/>
                <w:b/>
                <w:bCs/>
                <w:color w:val="000000"/>
                <w:sz w:val="20"/>
                <w:lang w:val="pt-PT"/>
              </w:rPr>
            </w:pPr>
          </w:p>
        </w:tc>
        <w:tc>
          <w:tcPr>
            <w:tcW w:w="2916" w:type="pct"/>
            <w:gridSpan w:val="2"/>
            <w:tcBorders>
              <w:top w:val="single" w:sz="4" w:space="0" w:color="auto"/>
              <w:left w:val="single" w:sz="4" w:space="0" w:color="auto"/>
              <w:bottom w:val="single" w:sz="8" w:space="0" w:color="auto"/>
              <w:right w:val="single" w:sz="8" w:space="0" w:color="auto"/>
            </w:tcBorders>
            <w:noWrap/>
            <w:vAlign w:val="center"/>
          </w:tcPr>
          <w:p w14:paraId="1E025A71" w14:textId="77777777" w:rsidR="00B83E47" w:rsidRDefault="00B83E47" w:rsidP="00657949">
            <w:pPr>
              <w:jc w:val="center"/>
              <w:rPr>
                <w:rFonts w:ascii="Arial" w:hAnsi="Arial" w:cs="Arial"/>
                <w:color w:val="000000"/>
                <w:sz w:val="2"/>
                <w:szCs w:val="2"/>
                <w:lang w:val="pt-PT"/>
              </w:rPr>
            </w:pPr>
          </w:p>
          <w:p w14:paraId="5B546DDA" w14:textId="77777777" w:rsidR="00B83E47" w:rsidRDefault="00B83E47" w:rsidP="00657949">
            <w:pPr>
              <w:jc w:val="center"/>
              <w:rPr>
                <w:sz w:val="18"/>
                <w:szCs w:val="18"/>
                <w:lang w:val="pt-PT"/>
              </w:rPr>
            </w:pPr>
            <w:r>
              <w:rPr>
                <w:rFonts w:ascii="Arial" w:hAnsi="Arial" w:cs="Arial"/>
                <w:color w:val="000000"/>
                <w:sz w:val="18"/>
                <w:szCs w:val="18"/>
                <w:lang w:val="pt-PT"/>
              </w:rPr>
              <w:t>Note: The lower the value, the better the efficiency of the device</w:t>
            </w:r>
          </w:p>
        </w:tc>
      </w:tr>
    </w:tbl>
    <w:p w14:paraId="4F9560F3" w14:textId="565762AD" w:rsidR="00A21B94" w:rsidRDefault="009B21FA" w:rsidP="00E86CBB">
      <w:pPr>
        <w:spacing w:line="300" w:lineRule="exact"/>
        <w:jc w:val="both"/>
        <w:rPr>
          <w:rFonts w:ascii="Arial" w:hAnsi="Arial" w:cs="Arial"/>
          <w:b/>
          <w:bCs/>
          <w:sz w:val="20"/>
          <w:u w:val="single"/>
        </w:rPr>
      </w:pPr>
      <w:r w:rsidRPr="009B21FA">
        <w:rPr>
          <w:rFonts w:ascii="Arial" w:hAnsi="Arial" w:cs="Arial"/>
          <w:b/>
          <w:bCs/>
          <w:sz w:val="20"/>
          <w:u w:val="single"/>
        </w:rPr>
        <w:t xml:space="preserve">TCO </w:t>
      </w:r>
      <w:r w:rsidR="00416A7B">
        <w:rPr>
          <w:rFonts w:ascii="Arial" w:hAnsi="Arial" w:cs="Arial"/>
          <w:b/>
          <w:bCs/>
          <w:sz w:val="20"/>
          <w:u w:val="single"/>
        </w:rPr>
        <w:t xml:space="preserve">08 </w:t>
      </w:r>
      <w:r w:rsidRPr="009B21FA">
        <w:rPr>
          <w:rFonts w:ascii="Arial" w:hAnsi="Arial" w:cs="Arial"/>
          <w:b/>
          <w:bCs/>
          <w:sz w:val="20"/>
          <w:u w:val="single"/>
        </w:rPr>
        <w:t>Certification</w:t>
      </w:r>
    </w:p>
    <w:p w14:paraId="7BF5FB60" w14:textId="7E448DE4" w:rsidR="00C51752" w:rsidRDefault="00B71295" w:rsidP="00B71295">
      <w:pPr>
        <w:spacing w:line="300" w:lineRule="exact"/>
        <w:jc w:val="both"/>
        <w:rPr>
          <w:rFonts w:ascii="Arial" w:hAnsi="Arial" w:cs="Arial"/>
          <w:sz w:val="20"/>
        </w:rPr>
      </w:pPr>
      <w:r>
        <w:rPr>
          <w:rFonts w:ascii="Arial" w:hAnsi="Arial" w:cs="Arial"/>
          <w:sz w:val="20"/>
        </w:rPr>
        <w:t>With the introduction of the EU Energy Label for Computer Monitors</w:t>
      </w:r>
      <w:r w:rsidR="00907DAE">
        <w:rPr>
          <w:rFonts w:ascii="Arial" w:hAnsi="Arial" w:cs="Arial"/>
          <w:sz w:val="20"/>
        </w:rPr>
        <w:t xml:space="preserve"> in March 2021</w:t>
      </w:r>
      <w:r w:rsidR="00EC42CB">
        <w:rPr>
          <w:rFonts w:ascii="Arial" w:hAnsi="Arial" w:cs="Arial"/>
          <w:sz w:val="20"/>
        </w:rPr>
        <w:t>,</w:t>
      </w:r>
      <w:r w:rsidR="00342CA6">
        <w:rPr>
          <w:rFonts w:ascii="Arial" w:hAnsi="Arial" w:cs="Arial"/>
          <w:sz w:val="20"/>
        </w:rPr>
        <w:t xml:space="preserve"> a TCO Certification is no</w:t>
      </w:r>
      <w:r w:rsidR="00457870">
        <w:rPr>
          <w:rFonts w:ascii="Arial" w:hAnsi="Arial" w:cs="Arial"/>
          <w:sz w:val="20"/>
        </w:rPr>
        <w:t xml:space="preserve"> longer</w:t>
      </w:r>
      <w:r w:rsidR="00342CA6">
        <w:rPr>
          <w:rFonts w:ascii="Arial" w:hAnsi="Arial" w:cs="Arial"/>
          <w:sz w:val="20"/>
        </w:rPr>
        <w:t xml:space="preserve"> </w:t>
      </w:r>
      <w:r w:rsidR="00C059D4">
        <w:rPr>
          <w:rFonts w:ascii="Arial" w:hAnsi="Arial" w:cs="Arial"/>
          <w:sz w:val="20"/>
        </w:rPr>
        <w:t>a mandatory requirement for bidders. Yet, we</w:t>
      </w:r>
      <w:r w:rsidR="00AA6E80">
        <w:rPr>
          <w:rFonts w:ascii="Arial" w:hAnsi="Arial" w:cs="Arial"/>
          <w:sz w:val="20"/>
        </w:rPr>
        <w:t xml:space="preserve"> </w:t>
      </w:r>
      <w:r w:rsidR="00C51752">
        <w:rPr>
          <w:rFonts w:ascii="Arial" w:hAnsi="Arial" w:cs="Arial"/>
          <w:sz w:val="20"/>
        </w:rPr>
        <w:t>uphold the recommendation for procurers to</w:t>
      </w:r>
      <w:r w:rsidR="00ED6689">
        <w:rPr>
          <w:rFonts w:ascii="Arial" w:hAnsi="Arial" w:cs="Arial"/>
          <w:sz w:val="20"/>
        </w:rPr>
        <w:t xml:space="preserve"> </w:t>
      </w:r>
      <w:r w:rsidR="00C51752">
        <w:rPr>
          <w:rFonts w:ascii="Arial" w:hAnsi="Arial" w:cs="Arial"/>
          <w:sz w:val="20"/>
        </w:rPr>
        <w:t>consider</w:t>
      </w:r>
      <w:r w:rsidR="00DF09B3">
        <w:rPr>
          <w:rFonts w:ascii="Arial" w:hAnsi="Arial" w:cs="Arial"/>
          <w:sz w:val="20"/>
        </w:rPr>
        <w:t xml:space="preserve"> a </w:t>
      </w:r>
      <w:r w:rsidR="00C51752">
        <w:rPr>
          <w:rFonts w:ascii="Arial" w:hAnsi="Arial" w:cs="Arial"/>
          <w:sz w:val="20"/>
        </w:rPr>
        <w:t>TCO Certification in their selection process</w:t>
      </w:r>
      <w:r w:rsidR="00B520C4" w:rsidRPr="00B520C4">
        <w:rPr>
          <w:rFonts w:ascii="Arial" w:hAnsi="Arial" w:cs="Arial"/>
          <w:sz w:val="20"/>
        </w:rPr>
        <w:t xml:space="preserve"> </w:t>
      </w:r>
      <w:r w:rsidR="00B520C4">
        <w:rPr>
          <w:rFonts w:ascii="Arial" w:hAnsi="Arial" w:cs="Arial"/>
          <w:sz w:val="20"/>
        </w:rPr>
        <w:t>to ensure an excellent ergonomic performance as well as to address other environmental criteria</w:t>
      </w:r>
      <w:r w:rsidR="00C51752">
        <w:rPr>
          <w:rFonts w:ascii="Arial" w:hAnsi="Arial" w:cs="Arial"/>
          <w:sz w:val="20"/>
        </w:rPr>
        <w:t>.</w:t>
      </w:r>
      <w:r w:rsidR="00B06B21">
        <w:rPr>
          <w:rFonts w:ascii="Arial" w:hAnsi="Arial" w:cs="Arial"/>
          <w:sz w:val="20"/>
        </w:rPr>
        <w:t xml:space="preserve"> </w:t>
      </w:r>
    </w:p>
    <w:p w14:paraId="20C93EE7" w14:textId="18F3D77F" w:rsidR="00267118" w:rsidRDefault="00B06B21" w:rsidP="00267118">
      <w:pPr>
        <w:spacing w:after="0" w:line="300" w:lineRule="exact"/>
        <w:rPr>
          <w:rFonts w:ascii="Arial" w:hAnsi="Arial" w:cs="Arial"/>
          <w:sz w:val="20"/>
        </w:rPr>
      </w:pPr>
      <w:r>
        <w:rPr>
          <w:rFonts w:ascii="Arial" w:hAnsi="Arial" w:cs="Arial"/>
          <w:sz w:val="20"/>
        </w:rPr>
        <w:t>Products that are certified according to TCO Certified</w:t>
      </w:r>
      <w:r w:rsidR="00B520C4">
        <w:rPr>
          <w:rFonts w:ascii="Arial" w:hAnsi="Arial" w:cs="Arial"/>
          <w:sz w:val="20"/>
        </w:rPr>
        <w:t xml:space="preserve"> (Swedish Label)</w:t>
      </w:r>
      <w:r>
        <w:rPr>
          <w:rFonts w:ascii="Arial" w:hAnsi="Arial" w:cs="Arial"/>
          <w:sz w:val="20"/>
        </w:rPr>
        <w:t xml:space="preserve"> fulfil comprehensive social and environmental sustainability criteria that cover the product’s full life cycle, from the product’s manufacturer to its disposal.</w:t>
      </w:r>
    </w:p>
    <w:p w14:paraId="519D4ECC" w14:textId="3B9E5288" w:rsidR="00B71295" w:rsidRPr="00B71295" w:rsidRDefault="00015342" w:rsidP="00B71295">
      <w:pPr>
        <w:spacing w:line="300" w:lineRule="exact"/>
        <w:jc w:val="both"/>
        <w:rPr>
          <w:rFonts w:ascii="Arial" w:hAnsi="Arial" w:cs="Arial"/>
          <w:sz w:val="20"/>
        </w:rPr>
      </w:pPr>
      <w:r>
        <w:rPr>
          <w:rFonts w:ascii="Arial" w:hAnsi="Arial" w:cs="Arial"/>
          <w:sz w:val="20"/>
        </w:rPr>
        <w:t xml:space="preserve">To </w:t>
      </w:r>
      <w:r w:rsidR="001B2A6C">
        <w:rPr>
          <w:rFonts w:ascii="Arial" w:hAnsi="Arial" w:cs="Arial"/>
          <w:sz w:val="20"/>
        </w:rPr>
        <w:t>meet the latest standards, a</w:t>
      </w:r>
      <w:r w:rsidR="00B71295" w:rsidRPr="00B71295">
        <w:rPr>
          <w:rFonts w:ascii="Arial" w:hAnsi="Arial" w:cs="Arial"/>
          <w:sz w:val="20"/>
        </w:rPr>
        <w:t xml:space="preserve">ll products with the </w:t>
      </w:r>
      <w:r w:rsidR="00B71295" w:rsidRPr="002C47CC">
        <w:rPr>
          <w:rFonts w:ascii="Arial" w:hAnsi="Arial" w:cs="Arial"/>
          <w:i/>
          <w:iCs/>
          <w:sz w:val="20"/>
        </w:rPr>
        <w:t>TCO Certified Displays</w:t>
      </w:r>
      <w:r w:rsidR="000A045E" w:rsidRPr="002C47CC">
        <w:rPr>
          <w:rFonts w:ascii="Arial" w:hAnsi="Arial" w:cs="Arial"/>
          <w:i/>
          <w:iCs/>
          <w:sz w:val="20"/>
        </w:rPr>
        <w:t xml:space="preserve"> Generation </w:t>
      </w:r>
      <w:r w:rsidR="00B71295" w:rsidRPr="002C47CC">
        <w:rPr>
          <w:rFonts w:ascii="Arial" w:hAnsi="Arial" w:cs="Arial"/>
          <w:i/>
          <w:iCs/>
          <w:sz w:val="20"/>
        </w:rPr>
        <w:t>8</w:t>
      </w:r>
      <w:r w:rsidR="00B71295" w:rsidRPr="00B71295">
        <w:rPr>
          <w:rFonts w:ascii="Arial" w:hAnsi="Arial" w:cs="Arial"/>
          <w:sz w:val="20"/>
        </w:rPr>
        <w:t xml:space="preserve"> label </w:t>
      </w:r>
      <w:r w:rsidR="007856ED">
        <w:rPr>
          <w:rFonts w:ascii="Arial" w:hAnsi="Arial" w:cs="Arial"/>
          <w:sz w:val="20"/>
        </w:rPr>
        <w:t>can</w:t>
      </w:r>
      <w:r w:rsidR="00B71295" w:rsidRPr="00B71295">
        <w:rPr>
          <w:rFonts w:ascii="Arial" w:hAnsi="Arial" w:cs="Arial"/>
          <w:sz w:val="20"/>
        </w:rPr>
        <w:t xml:space="preserve"> be accepted. </w:t>
      </w:r>
    </w:p>
    <w:p w14:paraId="50C8E0A2" w14:textId="3FD7AF32" w:rsidR="00B71295" w:rsidRDefault="00B71295" w:rsidP="00E86CBB">
      <w:pPr>
        <w:spacing w:line="300" w:lineRule="exact"/>
        <w:jc w:val="both"/>
        <w:rPr>
          <w:rFonts w:ascii="Arial" w:hAnsi="Arial" w:cs="Arial"/>
          <w:b/>
          <w:bCs/>
          <w:sz w:val="20"/>
          <w:u w:val="single"/>
        </w:rPr>
      </w:pPr>
    </w:p>
    <w:p w14:paraId="5810FA3A" w14:textId="77777777" w:rsidR="00B71295" w:rsidRDefault="00B71295" w:rsidP="00E86CBB">
      <w:pPr>
        <w:spacing w:line="300" w:lineRule="exact"/>
        <w:jc w:val="both"/>
        <w:rPr>
          <w:rFonts w:ascii="Arial" w:hAnsi="Arial" w:cs="Arial"/>
          <w:b/>
          <w:bCs/>
          <w:sz w:val="20"/>
          <w:u w:val="single"/>
        </w:rPr>
      </w:pPr>
    </w:p>
    <w:p w14:paraId="7DDD22A1" w14:textId="77777777" w:rsidR="00C54DB4" w:rsidRDefault="00C54DB4" w:rsidP="007B3559">
      <w:pPr>
        <w:spacing w:after="0" w:line="300" w:lineRule="exact"/>
        <w:jc w:val="both"/>
        <w:rPr>
          <w:rFonts w:ascii="Arial" w:hAnsi="Arial" w:cs="Arial"/>
          <w:sz w:val="20"/>
        </w:rPr>
      </w:pPr>
    </w:p>
    <w:p w14:paraId="3A19068A" w14:textId="39B207AC" w:rsidR="001F2B86" w:rsidRPr="00B67515" w:rsidRDefault="001F2B86" w:rsidP="007B3559">
      <w:pPr>
        <w:spacing w:after="0" w:line="300" w:lineRule="exact"/>
        <w:jc w:val="both"/>
        <w:rPr>
          <w:rFonts w:ascii="Arial" w:hAnsi="Arial" w:cs="Arial"/>
          <w:sz w:val="20"/>
        </w:rPr>
      </w:pPr>
      <w:r w:rsidRPr="00B67515">
        <w:rPr>
          <w:rFonts w:ascii="Arial" w:hAnsi="Arial" w:cs="Arial"/>
          <w:sz w:val="20"/>
        </w:rPr>
        <w:lastRenderedPageBreak/>
        <w:t xml:space="preserve">To increase savings and reduce environmental impact, procurers should evaluate life cycle costs when tendering for </w:t>
      </w:r>
      <w:r w:rsidR="00B87B15">
        <w:rPr>
          <w:rFonts w:ascii="Arial" w:hAnsi="Arial" w:cs="Arial"/>
          <w:sz w:val="20"/>
        </w:rPr>
        <w:t>computer monitors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2472F5DD" w:rsidR="006230A3" w:rsidRPr="009001EE" w:rsidRDefault="006230A3" w:rsidP="00FA3054">
      <w:pPr>
        <w:pStyle w:val="Caption"/>
        <w:keepNext/>
        <w:jc w:val="center"/>
        <w:rPr>
          <w:rFonts w:ascii="Arial" w:hAnsi="Arial" w:cs="Arial"/>
        </w:rPr>
      </w:pPr>
      <w:r w:rsidRPr="009001EE">
        <w:rPr>
          <w:rFonts w:ascii="Arial" w:hAnsi="Arial" w:cs="Arial"/>
        </w:rPr>
        <w:t xml:space="preserve">Table </w:t>
      </w:r>
      <w:r w:rsidR="00D26E76">
        <w:rPr>
          <w:rFonts w:ascii="Arial" w:hAnsi="Arial" w:cs="Arial"/>
        </w:rPr>
        <w:t>2</w:t>
      </w:r>
      <w:r w:rsidRPr="009001EE">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9FD2467" w14:textId="6656EB6D" w:rsidR="003C09C6" w:rsidRDefault="003C09C6" w:rsidP="003C09C6">
            <w:pPr>
              <w:spacing w:after="0" w:line="300" w:lineRule="exact"/>
              <w:rPr>
                <w:rFonts w:ascii="Arial" w:hAnsi="Arial" w:cs="Arial"/>
                <w:sz w:val="20"/>
                <w:lang w:val="en-US"/>
              </w:rPr>
            </w:pPr>
            <w:r>
              <w:rPr>
                <w:rFonts w:ascii="Arial" w:hAnsi="Arial" w:cs="Arial"/>
                <w:sz w:val="20"/>
                <w:lang w:val="en-US"/>
              </w:rPr>
              <w:t xml:space="preserve">Indicate </w:t>
            </w:r>
            <w:r w:rsidR="0023663D">
              <w:rPr>
                <w:rFonts w:ascii="Arial" w:hAnsi="Arial" w:cs="Arial"/>
                <w:sz w:val="20"/>
                <w:lang w:val="en-US"/>
              </w:rPr>
              <w:t>power</w:t>
            </w:r>
            <w:r w:rsidR="009E00F5">
              <w:rPr>
                <w:rFonts w:ascii="Arial" w:hAnsi="Arial" w:cs="Arial"/>
                <w:sz w:val="20"/>
                <w:lang w:val="en-US"/>
              </w:rPr>
              <w:t xml:space="preserve"> </w:t>
            </w:r>
            <w:r w:rsidR="0023663D">
              <w:rPr>
                <w:rFonts w:ascii="Arial" w:hAnsi="Arial" w:cs="Arial"/>
                <w:sz w:val="20"/>
                <w:lang w:val="en-US"/>
              </w:rPr>
              <w:t xml:space="preserve">kW </w:t>
            </w:r>
            <w:r w:rsidR="009E00F5">
              <w:rPr>
                <w:rFonts w:ascii="Arial" w:hAnsi="Arial" w:cs="Arial"/>
                <w:sz w:val="20"/>
                <w:lang w:val="en-US"/>
              </w:rPr>
              <w:t>per</w:t>
            </w:r>
            <w:r w:rsidR="0023663D">
              <w:rPr>
                <w:rFonts w:ascii="Arial" w:hAnsi="Arial" w:cs="Arial"/>
                <w:sz w:val="20"/>
                <w:lang w:val="en-US"/>
              </w:rPr>
              <w:t xml:space="preserve"> 1000h</w:t>
            </w:r>
            <w:r w:rsidR="00BF4C3B">
              <w:rPr>
                <w:rFonts w:ascii="Arial" w:hAnsi="Arial" w:cs="Arial"/>
                <w:sz w:val="20"/>
                <w:lang w:val="en-US"/>
              </w:rPr>
              <w:t xml:space="preserve"> x</w:t>
            </w:r>
          </w:p>
          <w:p w14:paraId="24046776" w14:textId="43C15AD5" w:rsidR="005413AE" w:rsidRPr="00B67515" w:rsidRDefault="00BF4C3B" w:rsidP="003C09C6">
            <w:pPr>
              <w:spacing w:after="0" w:line="280" w:lineRule="exact"/>
              <w:rPr>
                <w:rFonts w:ascii="Arial" w:hAnsi="Arial" w:cs="Arial"/>
                <w:sz w:val="20"/>
              </w:rPr>
            </w:pPr>
            <w:r>
              <w:rPr>
                <w:rFonts w:ascii="Arial" w:hAnsi="Arial" w:cs="Arial"/>
                <w:sz w:val="20"/>
                <w:lang w:val="en-US"/>
              </w:rPr>
              <w:t xml:space="preserve"> specified</w:t>
            </w:r>
            <w:r w:rsidR="003C09C6">
              <w:rPr>
                <w:rFonts w:ascii="Arial" w:hAnsi="Arial" w:cs="Arial"/>
                <w:sz w:val="20"/>
                <w:lang w:val="en-US"/>
              </w:rPr>
              <w:t xml:space="preserve"> </w:t>
            </w:r>
            <w:r w:rsidR="0023663D">
              <w:rPr>
                <w:rFonts w:ascii="Arial" w:hAnsi="Arial" w:cs="Arial"/>
                <w:sz w:val="20"/>
                <w:lang w:val="en-US"/>
              </w:rPr>
              <w:t xml:space="preserve">number hours per year in use </w:t>
            </w:r>
            <w:r w:rsidR="003C09C6">
              <w:rPr>
                <w:rFonts w:ascii="Arial" w:hAnsi="Arial" w:cs="Arial"/>
                <w:sz w:val="20"/>
                <w:lang w:val="en-US"/>
              </w:rPr>
              <w:t>x 5 years x nº units</w:t>
            </w:r>
          </w:p>
        </w:tc>
        <w:tc>
          <w:tcPr>
            <w:tcW w:w="2665" w:type="dxa"/>
            <w:vAlign w:val="center"/>
          </w:tcPr>
          <w:p w14:paraId="5B995353" w14:textId="4454B4AF"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313D98B7" w14:textId="28C8CDFE"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r w:rsidR="00583B50">
        <w:rPr>
          <w:rFonts w:ascii="Arial" w:hAnsi="Arial" w:cs="Arial"/>
          <w:sz w:val="16"/>
          <w:szCs w:val="16"/>
          <w:lang w:val="en-US"/>
        </w:rPr>
        <w:t xml:space="preserve"> </w:t>
      </w:r>
      <w:r w:rsidR="00583B50" w:rsidRPr="00825133">
        <w:rPr>
          <w:rFonts w:ascii="Arial" w:hAnsi="Arial" w:cs="Arial"/>
          <w:sz w:val="16"/>
          <w:szCs w:val="16"/>
          <w:lang w:val="en-US"/>
        </w:rPr>
        <w:t xml:space="preserve">The variables for the costs calculation during the product life time can be stated by the procurer (according to the </w:t>
      </w:r>
      <w:r w:rsidR="00583B50">
        <w:rPr>
          <w:rFonts w:ascii="Arial" w:hAnsi="Arial" w:cs="Arial"/>
          <w:sz w:val="16"/>
          <w:szCs w:val="16"/>
          <w:lang w:val="en-US"/>
        </w:rPr>
        <w:t xml:space="preserve">equipment </w:t>
      </w:r>
      <w:r w:rsidR="00583B50" w:rsidRPr="00825133">
        <w:rPr>
          <w:rFonts w:ascii="Arial" w:hAnsi="Arial" w:cs="Arial"/>
          <w:sz w:val="16"/>
          <w:szCs w:val="16"/>
          <w:lang w:val="en-US"/>
        </w:rPr>
        <w:t xml:space="preserve">replacement rate, </w:t>
      </w:r>
      <w:r w:rsidR="00583B50">
        <w:rPr>
          <w:rFonts w:ascii="Arial" w:hAnsi="Arial" w:cs="Arial"/>
          <w:sz w:val="16"/>
          <w:szCs w:val="16"/>
          <w:lang w:val="en-US"/>
        </w:rPr>
        <w:t>its</w:t>
      </w:r>
      <w:r w:rsidR="00583B50" w:rsidRPr="00825133">
        <w:rPr>
          <w:rFonts w:ascii="Arial" w:hAnsi="Arial" w:cs="Arial"/>
          <w:sz w:val="16"/>
          <w:szCs w:val="16"/>
          <w:lang w:val="en-US"/>
        </w:rPr>
        <w:t xml:space="preserve"> daily </w:t>
      </w:r>
      <w:r w:rsidR="00583B50">
        <w:rPr>
          <w:rFonts w:ascii="Arial" w:hAnsi="Arial" w:cs="Arial"/>
          <w:sz w:val="16"/>
          <w:szCs w:val="16"/>
          <w:lang w:val="en-US"/>
        </w:rPr>
        <w:t xml:space="preserve">and annual </w:t>
      </w:r>
      <w:r w:rsidR="00583B50" w:rsidRPr="00825133">
        <w:rPr>
          <w:rFonts w:ascii="Arial" w:hAnsi="Arial" w:cs="Arial"/>
          <w:sz w:val="16"/>
          <w:szCs w:val="16"/>
          <w:lang w:val="en-US"/>
        </w:rPr>
        <w:t>use, etc.).</w:t>
      </w:r>
    </w:p>
    <w:p w14:paraId="23187F99" w14:textId="66D76D72" w:rsidR="001F2B86"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23A0" w14:textId="77777777" w:rsidR="00FD680B" w:rsidRDefault="00FD680B">
      <w:pPr>
        <w:spacing w:after="0"/>
      </w:pPr>
      <w:r>
        <w:separator/>
      </w:r>
    </w:p>
  </w:endnote>
  <w:endnote w:type="continuationSeparator" w:id="0">
    <w:p w14:paraId="65232E67" w14:textId="77777777" w:rsidR="00FD680B" w:rsidRDefault="00FD6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Palatino"/>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FEF8" w14:textId="77777777" w:rsidR="00FD680B" w:rsidRDefault="00FD680B">
      <w:pPr>
        <w:spacing w:after="0"/>
      </w:pPr>
      <w:r>
        <w:separator/>
      </w:r>
    </w:p>
  </w:footnote>
  <w:footnote w:type="continuationSeparator" w:id="0">
    <w:p w14:paraId="60CD12BF" w14:textId="77777777" w:rsidR="00FD680B" w:rsidRDefault="00FD68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FD680B">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57EAC"/>
    <w:multiLevelType w:val="hybridMultilevel"/>
    <w:tmpl w:val="014625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1"/>
  </w:num>
  <w:num w:numId="2">
    <w:abstractNumId w:val="11"/>
  </w:num>
  <w:num w:numId="3">
    <w:abstractNumId w:val="11"/>
  </w:num>
  <w:num w:numId="4">
    <w:abstractNumId w:val="11"/>
  </w:num>
  <w:num w:numId="5">
    <w:abstractNumId w:val="1"/>
  </w:num>
  <w:num w:numId="6">
    <w:abstractNumId w:val="13"/>
  </w:num>
  <w:num w:numId="7">
    <w:abstractNumId w:val="3"/>
  </w:num>
  <w:num w:numId="8">
    <w:abstractNumId w:val="0"/>
  </w:num>
  <w:num w:numId="9">
    <w:abstractNumId w:val="12"/>
  </w:num>
  <w:num w:numId="10">
    <w:abstractNumId w:val="2"/>
  </w:num>
  <w:num w:numId="11">
    <w:abstractNumId w:val="8"/>
  </w:num>
  <w:num w:numId="12">
    <w:abstractNumId w:val="7"/>
  </w:num>
  <w:num w:numId="13">
    <w:abstractNumId w:val="10"/>
  </w:num>
  <w:num w:numId="14">
    <w:abstractNumId w:val="5"/>
  </w:num>
  <w:num w:numId="15">
    <w:abstractNumId w:val="9"/>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4F0D"/>
    <w:rsid w:val="00006FE6"/>
    <w:rsid w:val="00010AE4"/>
    <w:rsid w:val="00011045"/>
    <w:rsid w:val="00012008"/>
    <w:rsid w:val="00012955"/>
    <w:rsid w:val="00015342"/>
    <w:rsid w:val="0002331B"/>
    <w:rsid w:val="0002493F"/>
    <w:rsid w:val="000278BB"/>
    <w:rsid w:val="00034A0B"/>
    <w:rsid w:val="00034F6C"/>
    <w:rsid w:val="00045D50"/>
    <w:rsid w:val="00046431"/>
    <w:rsid w:val="00047E04"/>
    <w:rsid w:val="0005209D"/>
    <w:rsid w:val="000525D3"/>
    <w:rsid w:val="00060AA3"/>
    <w:rsid w:val="00061D12"/>
    <w:rsid w:val="000640C9"/>
    <w:rsid w:val="000664D1"/>
    <w:rsid w:val="00070C1A"/>
    <w:rsid w:val="000722B1"/>
    <w:rsid w:val="000758FE"/>
    <w:rsid w:val="00081935"/>
    <w:rsid w:val="00081BC8"/>
    <w:rsid w:val="00086FB2"/>
    <w:rsid w:val="00095750"/>
    <w:rsid w:val="000A045E"/>
    <w:rsid w:val="000A39CB"/>
    <w:rsid w:val="000A3A5A"/>
    <w:rsid w:val="000A4B81"/>
    <w:rsid w:val="000A7F03"/>
    <w:rsid w:val="000B286D"/>
    <w:rsid w:val="000B4E98"/>
    <w:rsid w:val="000C26DB"/>
    <w:rsid w:val="000C3138"/>
    <w:rsid w:val="000C48B5"/>
    <w:rsid w:val="000C65B6"/>
    <w:rsid w:val="000D0036"/>
    <w:rsid w:val="000D55F5"/>
    <w:rsid w:val="000E3428"/>
    <w:rsid w:val="000E3772"/>
    <w:rsid w:val="000E5407"/>
    <w:rsid w:val="000E551F"/>
    <w:rsid w:val="000E5A36"/>
    <w:rsid w:val="000F5F2E"/>
    <w:rsid w:val="000F6E5E"/>
    <w:rsid w:val="00100AD4"/>
    <w:rsid w:val="00103C24"/>
    <w:rsid w:val="0011618D"/>
    <w:rsid w:val="00117B94"/>
    <w:rsid w:val="00122FBD"/>
    <w:rsid w:val="0013640E"/>
    <w:rsid w:val="00137D29"/>
    <w:rsid w:val="0014585A"/>
    <w:rsid w:val="00145F02"/>
    <w:rsid w:val="0014716F"/>
    <w:rsid w:val="00150661"/>
    <w:rsid w:val="0015113E"/>
    <w:rsid w:val="00151959"/>
    <w:rsid w:val="0015485B"/>
    <w:rsid w:val="00154D6C"/>
    <w:rsid w:val="00157387"/>
    <w:rsid w:val="00160F9B"/>
    <w:rsid w:val="00170030"/>
    <w:rsid w:val="00170359"/>
    <w:rsid w:val="00173AA2"/>
    <w:rsid w:val="00175704"/>
    <w:rsid w:val="001778A0"/>
    <w:rsid w:val="00181EAE"/>
    <w:rsid w:val="0018205F"/>
    <w:rsid w:val="001925CF"/>
    <w:rsid w:val="00194D9E"/>
    <w:rsid w:val="001A2416"/>
    <w:rsid w:val="001A3459"/>
    <w:rsid w:val="001A4A2E"/>
    <w:rsid w:val="001B00B7"/>
    <w:rsid w:val="001B2A6C"/>
    <w:rsid w:val="001B7410"/>
    <w:rsid w:val="001C1F5F"/>
    <w:rsid w:val="001C707A"/>
    <w:rsid w:val="001D1304"/>
    <w:rsid w:val="001E544D"/>
    <w:rsid w:val="001E57BC"/>
    <w:rsid w:val="001E688B"/>
    <w:rsid w:val="001F2831"/>
    <w:rsid w:val="001F2B86"/>
    <w:rsid w:val="001F3789"/>
    <w:rsid w:val="001F5DFE"/>
    <w:rsid w:val="00201227"/>
    <w:rsid w:val="00201D53"/>
    <w:rsid w:val="0020470A"/>
    <w:rsid w:val="0020481E"/>
    <w:rsid w:val="002076E6"/>
    <w:rsid w:val="002078FF"/>
    <w:rsid w:val="0021557D"/>
    <w:rsid w:val="00215F34"/>
    <w:rsid w:val="00223E3E"/>
    <w:rsid w:val="00232C87"/>
    <w:rsid w:val="00233F5D"/>
    <w:rsid w:val="00235343"/>
    <w:rsid w:val="0023663D"/>
    <w:rsid w:val="00237A37"/>
    <w:rsid w:val="002419CF"/>
    <w:rsid w:val="00244AEF"/>
    <w:rsid w:val="002461E0"/>
    <w:rsid w:val="002533CD"/>
    <w:rsid w:val="00255ED4"/>
    <w:rsid w:val="002571A2"/>
    <w:rsid w:val="00267108"/>
    <w:rsid w:val="00267118"/>
    <w:rsid w:val="00270BFA"/>
    <w:rsid w:val="00273A4A"/>
    <w:rsid w:val="00275510"/>
    <w:rsid w:val="002767E4"/>
    <w:rsid w:val="0028025C"/>
    <w:rsid w:val="00287D52"/>
    <w:rsid w:val="00296A05"/>
    <w:rsid w:val="002A5D95"/>
    <w:rsid w:val="002A7DA0"/>
    <w:rsid w:val="002B0D8E"/>
    <w:rsid w:val="002B115E"/>
    <w:rsid w:val="002B2C76"/>
    <w:rsid w:val="002C1B06"/>
    <w:rsid w:val="002C341E"/>
    <w:rsid w:val="002C47CC"/>
    <w:rsid w:val="002C5499"/>
    <w:rsid w:val="002D0322"/>
    <w:rsid w:val="002D3144"/>
    <w:rsid w:val="002D4D72"/>
    <w:rsid w:val="002D4F6A"/>
    <w:rsid w:val="002D7CB8"/>
    <w:rsid w:val="002E3415"/>
    <w:rsid w:val="002F1365"/>
    <w:rsid w:val="002F641E"/>
    <w:rsid w:val="00300F6C"/>
    <w:rsid w:val="003023C9"/>
    <w:rsid w:val="00303312"/>
    <w:rsid w:val="003042AC"/>
    <w:rsid w:val="003053B4"/>
    <w:rsid w:val="003107EA"/>
    <w:rsid w:val="0031741E"/>
    <w:rsid w:val="00320B43"/>
    <w:rsid w:val="003379B2"/>
    <w:rsid w:val="0034080D"/>
    <w:rsid w:val="0034154C"/>
    <w:rsid w:val="00342CA6"/>
    <w:rsid w:val="00346C72"/>
    <w:rsid w:val="003515CE"/>
    <w:rsid w:val="00351E6E"/>
    <w:rsid w:val="00356A75"/>
    <w:rsid w:val="00363E71"/>
    <w:rsid w:val="0036447E"/>
    <w:rsid w:val="003655EC"/>
    <w:rsid w:val="00370568"/>
    <w:rsid w:val="00372D0A"/>
    <w:rsid w:val="00373D1D"/>
    <w:rsid w:val="00377045"/>
    <w:rsid w:val="0037762B"/>
    <w:rsid w:val="00381E01"/>
    <w:rsid w:val="00381E56"/>
    <w:rsid w:val="003833CF"/>
    <w:rsid w:val="0038382C"/>
    <w:rsid w:val="0038718D"/>
    <w:rsid w:val="003911AA"/>
    <w:rsid w:val="00392F13"/>
    <w:rsid w:val="00395032"/>
    <w:rsid w:val="003974D4"/>
    <w:rsid w:val="00397CA1"/>
    <w:rsid w:val="003A5677"/>
    <w:rsid w:val="003A60ED"/>
    <w:rsid w:val="003A7991"/>
    <w:rsid w:val="003B4A54"/>
    <w:rsid w:val="003B7042"/>
    <w:rsid w:val="003C09C6"/>
    <w:rsid w:val="003C422F"/>
    <w:rsid w:val="003C6C8C"/>
    <w:rsid w:val="003D6D66"/>
    <w:rsid w:val="003E6E97"/>
    <w:rsid w:val="003E769A"/>
    <w:rsid w:val="003F142C"/>
    <w:rsid w:val="003F1A68"/>
    <w:rsid w:val="003F6730"/>
    <w:rsid w:val="00402C19"/>
    <w:rsid w:val="00406E33"/>
    <w:rsid w:val="00410B43"/>
    <w:rsid w:val="0041654B"/>
    <w:rsid w:val="00416A7B"/>
    <w:rsid w:val="004223B1"/>
    <w:rsid w:val="00422EEC"/>
    <w:rsid w:val="00426C75"/>
    <w:rsid w:val="00426C7F"/>
    <w:rsid w:val="00430056"/>
    <w:rsid w:val="00433CD5"/>
    <w:rsid w:val="004362B6"/>
    <w:rsid w:val="00436772"/>
    <w:rsid w:val="00437453"/>
    <w:rsid w:val="00437B5C"/>
    <w:rsid w:val="00441BD3"/>
    <w:rsid w:val="004427C0"/>
    <w:rsid w:val="00442F8B"/>
    <w:rsid w:val="004434D8"/>
    <w:rsid w:val="0045031B"/>
    <w:rsid w:val="0045048A"/>
    <w:rsid w:val="004544C4"/>
    <w:rsid w:val="00457870"/>
    <w:rsid w:val="00457986"/>
    <w:rsid w:val="00462B70"/>
    <w:rsid w:val="00463778"/>
    <w:rsid w:val="00464A67"/>
    <w:rsid w:val="00470965"/>
    <w:rsid w:val="00477685"/>
    <w:rsid w:val="00485EB2"/>
    <w:rsid w:val="004919E7"/>
    <w:rsid w:val="004A0899"/>
    <w:rsid w:val="004A114E"/>
    <w:rsid w:val="004A3C1E"/>
    <w:rsid w:val="004A71E3"/>
    <w:rsid w:val="004B2938"/>
    <w:rsid w:val="004B2A23"/>
    <w:rsid w:val="004B490C"/>
    <w:rsid w:val="004C04AA"/>
    <w:rsid w:val="004D16D4"/>
    <w:rsid w:val="004D16FC"/>
    <w:rsid w:val="004D2DA1"/>
    <w:rsid w:val="004D2DFC"/>
    <w:rsid w:val="004E3460"/>
    <w:rsid w:val="004E5468"/>
    <w:rsid w:val="004E766C"/>
    <w:rsid w:val="004F1663"/>
    <w:rsid w:val="004F2665"/>
    <w:rsid w:val="004F4FDE"/>
    <w:rsid w:val="00502885"/>
    <w:rsid w:val="00504117"/>
    <w:rsid w:val="00506868"/>
    <w:rsid w:val="00507612"/>
    <w:rsid w:val="005140A0"/>
    <w:rsid w:val="00514613"/>
    <w:rsid w:val="00514626"/>
    <w:rsid w:val="005206FD"/>
    <w:rsid w:val="00521E6B"/>
    <w:rsid w:val="00525472"/>
    <w:rsid w:val="0053192B"/>
    <w:rsid w:val="00531B04"/>
    <w:rsid w:val="00532515"/>
    <w:rsid w:val="00533D77"/>
    <w:rsid w:val="00535FBF"/>
    <w:rsid w:val="0053672B"/>
    <w:rsid w:val="00540EBB"/>
    <w:rsid w:val="005413AE"/>
    <w:rsid w:val="00541E68"/>
    <w:rsid w:val="00544871"/>
    <w:rsid w:val="00544A57"/>
    <w:rsid w:val="005473B9"/>
    <w:rsid w:val="00552864"/>
    <w:rsid w:val="0055335C"/>
    <w:rsid w:val="005539CB"/>
    <w:rsid w:val="00553DCB"/>
    <w:rsid w:val="005552AA"/>
    <w:rsid w:val="00555A5F"/>
    <w:rsid w:val="00555A9E"/>
    <w:rsid w:val="00556F43"/>
    <w:rsid w:val="00564882"/>
    <w:rsid w:val="00566E91"/>
    <w:rsid w:val="00567065"/>
    <w:rsid w:val="00575E0D"/>
    <w:rsid w:val="00583B50"/>
    <w:rsid w:val="00584399"/>
    <w:rsid w:val="005867EF"/>
    <w:rsid w:val="005944B8"/>
    <w:rsid w:val="0059645F"/>
    <w:rsid w:val="005A369D"/>
    <w:rsid w:val="005A5E0C"/>
    <w:rsid w:val="005B0C7D"/>
    <w:rsid w:val="005B3240"/>
    <w:rsid w:val="005C19C7"/>
    <w:rsid w:val="005C411B"/>
    <w:rsid w:val="005C522F"/>
    <w:rsid w:val="005C5621"/>
    <w:rsid w:val="005D0929"/>
    <w:rsid w:val="005D2D5C"/>
    <w:rsid w:val="005F10F8"/>
    <w:rsid w:val="005F3160"/>
    <w:rsid w:val="006020A0"/>
    <w:rsid w:val="00605D16"/>
    <w:rsid w:val="00605EB8"/>
    <w:rsid w:val="00607CC4"/>
    <w:rsid w:val="0061023C"/>
    <w:rsid w:val="0061055F"/>
    <w:rsid w:val="00614010"/>
    <w:rsid w:val="006230A3"/>
    <w:rsid w:val="00631864"/>
    <w:rsid w:val="00632AC3"/>
    <w:rsid w:val="006337F6"/>
    <w:rsid w:val="00640B40"/>
    <w:rsid w:val="00641B57"/>
    <w:rsid w:val="006429B4"/>
    <w:rsid w:val="00644693"/>
    <w:rsid w:val="00646B71"/>
    <w:rsid w:val="006512AC"/>
    <w:rsid w:val="006532C6"/>
    <w:rsid w:val="0066123C"/>
    <w:rsid w:val="00667357"/>
    <w:rsid w:val="00673EB3"/>
    <w:rsid w:val="0067543E"/>
    <w:rsid w:val="0067768D"/>
    <w:rsid w:val="00682404"/>
    <w:rsid w:val="0068378A"/>
    <w:rsid w:val="0068440C"/>
    <w:rsid w:val="00684931"/>
    <w:rsid w:val="00695288"/>
    <w:rsid w:val="006A283F"/>
    <w:rsid w:val="006A3193"/>
    <w:rsid w:val="006A3448"/>
    <w:rsid w:val="006A38C5"/>
    <w:rsid w:val="006A75AB"/>
    <w:rsid w:val="006B632E"/>
    <w:rsid w:val="006B77EF"/>
    <w:rsid w:val="006B787A"/>
    <w:rsid w:val="006C0A24"/>
    <w:rsid w:val="006C102A"/>
    <w:rsid w:val="006C3437"/>
    <w:rsid w:val="006C4216"/>
    <w:rsid w:val="006C5FC9"/>
    <w:rsid w:val="006C715F"/>
    <w:rsid w:val="006C7C69"/>
    <w:rsid w:val="006D273F"/>
    <w:rsid w:val="006D2CDB"/>
    <w:rsid w:val="006D3569"/>
    <w:rsid w:val="006D4EBE"/>
    <w:rsid w:val="006D7495"/>
    <w:rsid w:val="006E37B6"/>
    <w:rsid w:val="006E70B8"/>
    <w:rsid w:val="006F209F"/>
    <w:rsid w:val="006F412B"/>
    <w:rsid w:val="006F72BF"/>
    <w:rsid w:val="00703D01"/>
    <w:rsid w:val="007076B8"/>
    <w:rsid w:val="00710461"/>
    <w:rsid w:val="00711CCC"/>
    <w:rsid w:val="00711E54"/>
    <w:rsid w:val="0071352B"/>
    <w:rsid w:val="00716384"/>
    <w:rsid w:val="00717A5F"/>
    <w:rsid w:val="00720E1D"/>
    <w:rsid w:val="00723910"/>
    <w:rsid w:val="007240DF"/>
    <w:rsid w:val="00725ED7"/>
    <w:rsid w:val="00726FB2"/>
    <w:rsid w:val="007328B8"/>
    <w:rsid w:val="00741AAC"/>
    <w:rsid w:val="007459DB"/>
    <w:rsid w:val="007460F6"/>
    <w:rsid w:val="0074654B"/>
    <w:rsid w:val="00746EF1"/>
    <w:rsid w:val="00750174"/>
    <w:rsid w:val="00750C2D"/>
    <w:rsid w:val="00752616"/>
    <w:rsid w:val="007572F0"/>
    <w:rsid w:val="00764F94"/>
    <w:rsid w:val="0076610A"/>
    <w:rsid w:val="007711DE"/>
    <w:rsid w:val="0077158F"/>
    <w:rsid w:val="0077203D"/>
    <w:rsid w:val="00772A8C"/>
    <w:rsid w:val="00775972"/>
    <w:rsid w:val="00775FFC"/>
    <w:rsid w:val="007806F8"/>
    <w:rsid w:val="00781242"/>
    <w:rsid w:val="007831C4"/>
    <w:rsid w:val="007856ED"/>
    <w:rsid w:val="0078736A"/>
    <w:rsid w:val="00787F36"/>
    <w:rsid w:val="00791461"/>
    <w:rsid w:val="007916A8"/>
    <w:rsid w:val="0079485E"/>
    <w:rsid w:val="00796FE9"/>
    <w:rsid w:val="0079734D"/>
    <w:rsid w:val="007A2519"/>
    <w:rsid w:val="007A2EE1"/>
    <w:rsid w:val="007A385A"/>
    <w:rsid w:val="007A3B9A"/>
    <w:rsid w:val="007A736E"/>
    <w:rsid w:val="007B2196"/>
    <w:rsid w:val="007B3559"/>
    <w:rsid w:val="007B45AF"/>
    <w:rsid w:val="007B5A1B"/>
    <w:rsid w:val="007C0B3C"/>
    <w:rsid w:val="007C630C"/>
    <w:rsid w:val="007D6A7F"/>
    <w:rsid w:val="007D7920"/>
    <w:rsid w:val="007E053E"/>
    <w:rsid w:val="007E698D"/>
    <w:rsid w:val="007F0DE4"/>
    <w:rsid w:val="007F5FC6"/>
    <w:rsid w:val="008016F7"/>
    <w:rsid w:val="008023C3"/>
    <w:rsid w:val="0080461F"/>
    <w:rsid w:val="008130B6"/>
    <w:rsid w:val="008162CE"/>
    <w:rsid w:val="00821FA9"/>
    <w:rsid w:val="008250F5"/>
    <w:rsid w:val="00825133"/>
    <w:rsid w:val="00825932"/>
    <w:rsid w:val="00826F88"/>
    <w:rsid w:val="00830010"/>
    <w:rsid w:val="00833122"/>
    <w:rsid w:val="00833B10"/>
    <w:rsid w:val="00837DB9"/>
    <w:rsid w:val="00840350"/>
    <w:rsid w:val="0084624B"/>
    <w:rsid w:val="0085166A"/>
    <w:rsid w:val="0085295F"/>
    <w:rsid w:val="008556F4"/>
    <w:rsid w:val="008564AB"/>
    <w:rsid w:val="008564C1"/>
    <w:rsid w:val="0085699F"/>
    <w:rsid w:val="00856E16"/>
    <w:rsid w:val="00864E57"/>
    <w:rsid w:val="00865D58"/>
    <w:rsid w:val="008716EF"/>
    <w:rsid w:val="008765D5"/>
    <w:rsid w:val="00877A12"/>
    <w:rsid w:val="00881121"/>
    <w:rsid w:val="00884407"/>
    <w:rsid w:val="00885896"/>
    <w:rsid w:val="00887574"/>
    <w:rsid w:val="008907A0"/>
    <w:rsid w:val="008921CA"/>
    <w:rsid w:val="0089431B"/>
    <w:rsid w:val="008950BC"/>
    <w:rsid w:val="008A3316"/>
    <w:rsid w:val="008A3897"/>
    <w:rsid w:val="008A3D1F"/>
    <w:rsid w:val="008A4F3F"/>
    <w:rsid w:val="008A631C"/>
    <w:rsid w:val="008B4EFA"/>
    <w:rsid w:val="008B56A0"/>
    <w:rsid w:val="008B6EBF"/>
    <w:rsid w:val="008C2A7C"/>
    <w:rsid w:val="008C3AE2"/>
    <w:rsid w:val="008C5D3A"/>
    <w:rsid w:val="008C6BEB"/>
    <w:rsid w:val="008C737C"/>
    <w:rsid w:val="008C772A"/>
    <w:rsid w:val="008D003B"/>
    <w:rsid w:val="008D1523"/>
    <w:rsid w:val="008D22F5"/>
    <w:rsid w:val="008D29FB"/>
    <w:rsid w:val="008D4CF0"/>
    <w:rsid w:val="008D5F3A"/>
    <w:rsid w:val="008E29EA"/>
    <w:rsid w:val="008E40D2"/>
    <w:rsid w:val="008E4688"/>
    <w:rsid w:val="008F269A"/>
    <w:rsid w:val="008F3496"/>
    <w:rsid w:val="008F50E5"/>
    <w:rsid w:val="008F6172"/>
    <w:rsid w:val="008F796D"/>
    <w:rsid w:val="008F7D30"/>
    <w:rsid w:val="009001EE"/>
    <w:rsid w:val="0090199A"/>
    <w:rsid w:val="0090251F"/>
    <w:rsid w:val="009052AB"/>
    <w:rsid w:val="00907CCB"/>
    <w:rsid w:val="00907DAE"/>
    <w:rsid w:val="00917921"/>
    <w:rsid w:val="009228B3"/>
    <w:rsid w:val="00930473"/>
    <w:rsid w:val="00932867"/>
    <w:rsid w:val="00935822"/>
    <w:rsid w:val="009379E7"/>
    <w:rsid w:val="00940DCE"/>
    <w:rsid w:val="00941233"/>
    <w:rsid w:val="009429A9"/>
    <w:rsid w:val="0094667F"/>
    <w:rsid w:val="00946D21"/>
    <w:rsid w:val="00947507"/>
    <w:rsid w:val="00951EEA"/>
    <w:rsid w:val="009534D2"/>
    <w:rsid w:val="00953D64"/>
    <w:rsid w:val="00955AB4"/>
    <w:rsid w:val="00970F1A"/>
    <w:rsid w:val="009719EF"/>
    <w:rsid w:val="0097405C"/>
    <w:rsid w:val="009817C0"/>
    <w:rsid w:val="00981EC7"/>
    <w:rsid w:val="00982017"/>
    <w:rsid w:val="00983032"/>
    <w:rsid w:val="00983623"/>
    <w:rsid w:val="009837DE"/>
    <w:rsid w:val="00986960"/>
    <w:rsid w:val="00996DF5"/>
    <w:rsid w:val="009A40D0"/>
    <w:rsid w:val="009B21FA"/>
    <w:rsid w:val="009B524A"/>
    <w:rsid w:val="009B6A3F"/>
    <w:rsid w:val="009B7B96"/>
    <w:rsid w:val="009C2B07"/>
    <w:rsid w:val="009C7F6E"/>
    <w:rsid w:val="009D2167"/>
    <w:rsid w:val="009D26F2"/>
    <w:rsid w:val="009D44A2"/>
    <w:rsid w:val="009D751B"/>
    <w:rsid w:val="009D7B53"/>
    <w:rsid w:val="009E00F5"/>
    <w:rsid w:val="009F4C5B"/>
    <w:rsid w:val="009F60C3"/>
    <w:rsid w:val="00A0096F"/>
    <w:rsid w:val="00A00F4E"/>
    <w:rsid w:val="00A011B3"/>
    <w:rsid w:val="00A06254"/>
    <w:rsid w:val="00A0682A"/>
    <w:rsid w:val="00A07D1C"/>
    <w:rsid w:val="00A1773E"/>
    <w:rsid w:val="00A21B94"/>
    <w:rsid w:val="00A23D45"/>
    <w:rsid w:val="00A275B6"/>
    <w:rsid w:val="00A30DC4"/>
    <w:rsid w:val="00A314B3"/>
    <w:rsid w:val="00A3178C"/>
    <w:rsid w:val="00A41699"/>
    <w:rsid w:val="00A43C35"/>
    <w:rsid w:val="00A44166"/>
    <w:rsid w:val="00A44889"/>
    <w:rsid w:val="00A5072F"/>
    <w:rsid w:val="00A52D52"/>
    <w:rsid w:val="00A56487"/>
    <w:rsid w:val="00A56CB7"/>
    <w:rsid w:val="00A56CD0"/>
    <w:rsid w:val="00A6500A"/>
    <w:rsid w:val="00A705AD"/>
    <w:rsid w:val="00A738FE"/>
    <w:rsid w:val="00A74954"/>
    <w:rsid w:val="00A74E17"/>
    <w:rsid w:val="00A76943"/>
    <w:rsid w:val="00A915BB"/>
    <w:rsid w:val="00A933A1"/>
    <w:rsid w:val="00A96448"/>
    <w:rsid w:val="00AA0746"/>
    <w:rsid w:val="00AA22F1"/>
    <w:rsid w:val="00AA35E4"/>
    <w:rsid w:val="00AA64D3"/>
    <w:rsid w:val="00AA6E80"/>
    <w:rsid w:val="00AB3E29"/>
    <w:rsid w:val="00AB4DD9"/>
    <w:rsid w:val="00AB5512"/>
    <w:rsid w:val="00AB70F3"/>
    <w:rsid w:val="00AC157C"/>
    <w:rsid w:val="00AC1FB1"/>
    <w:rsid w:val="00AC2D92"/>
    <w:rsid w:val="00AD0104"/>
    <w:rsid w:val="00AD374F"/>
    <w:rsid w:val="00AD71CF"/>
    <w:rsid w:val="00AE3D77"/>
    <w:rsid w:val="00AF0B85"/>
    <w:rsid w:val="00AF502F"/>
    <w:rsid w:val="00B016FC"/>
    <w:rsid w:val="00B0182F"/>
    <w:rsid w:val="00B0419A"/>
    <w:rsid w:val="00B05E26"/>
    <w:rsid w:val="00B06B21"/>
    <w:rsid w:val="00B120EC"/>
    <w:rsid w:val="00B14EF5"/>
    <w:rsid w:val="00B154F6"/>
    <w:rsid w:val="00B161A3"/>
    <w:rsid w:val="00B16D17"/>
    <w:rsid w:val="00B2357A"/>
    <w:rsid w:val="00B40116"/>
    <w:rsid w:val="00B41CD3"/>
    <w:rsid w:val="00B46246"/>
    <w:rsid w:val="00B469FB"/>
    <w:rsid w:val="00B46D30"/>
    <w:rsid w:val="00B46F0D"/>
    <w:rsid w:val="00B46FD9"/>
    <w:rsid w:val="00B47691"/>
    <w:rsid w:val="00B520C4"/>
    <w:rsid w:val="00B54335"/>
    <w:rsid w:val="00B6310E"/>
    <w:rsid w:val="00B67515"/>
    <w:rsid w:val="00B67CFD"/>
    <w:rsid w:val="00B710CB"/>
    <w:rsid w:val="00B71295"/>
    <w:rsid w:val="00B75DB5"/>
    <w:rsid w:val="00B75DE6"/>
    <w:rsid w:val="00B76C14"/>
    <w:rsid w:val="00B76DBE"/>
    <w:rsid w:val="00B76DE1"/>
    <w:rsid w:val="00B8371D"/>
    <w:rsid w:val="00B83E47"/>
    <w:rsid w:val="00B8577A"/>
    <w:rsid w:val="00B868DD"/>
    <w:rsid w:val="00B87B15"/>
    <w:rsid w:val="00B91578"/>
    <w:rsid w:val="00B93489"/>
    <w:rsid w:val="00BA2BA1"/>
    <w:rsid w:val="00BA4605"/>
    <w:rsid w:val="00BB0844"/>
    <w:rsid w:val="00BB0B26"/>
    <w:rsid w:val="00BB1075"/>
    <w:rsid w:val="00BB15CE"/>
    <w:rsid w:val="00BB17A5"/>
    <w:rsid w:val="00BB4AE6"/>
    <w:rsid w:val="00BB4D2C"/>
    <w:rsid w:val="00BB5797"/>
    <w:rsid w:val="00BB60C7"/>
    <w:rsid w:val="00BB70A6"/>
    <w:rsid w:val="00BC40FE"/>
    <w:rsid w:val="00BD0980"/>
    <w:rsid w:val="00BD49BB"/>
    <w:rsid w:val="00BE43F0"/>
    <w:rsid w:val="00BF13EA"/>
    <w:rsid w:val="00BF3B3D"/>
    <w:rsid w:val="00BF4C3B"/>
    <w:rsid w:val="00BF4D8B"/>
    <w:rsid w:val="00C00321"/>
    <w:rsid w:val="00C0390D"/>
    <w:rsid w:val="00C059D4"/>
    <w:rsid w:val="00C068A6"/>
    <w:rsid w:val="00C12359"/>
    <w:rsid w:val="00C14775"/>
    <w:rsid w:val="00C15FD0"/>
    <w:rsid w:val="00C16C37"/>
    <w:rsid w:val="00C226E5"/>
    <w:rsid w:val="00C257E7"/>
    <w:rsid w:val="00C26DB3"/>
    <w:rsid w:val="00C301E9"/>
    <w:rsid w:val="00C3409C"/>
    <w:rsid w:val="00C35E93"/>
    <w:rsid w:val="00C3618F"/>
    <w:rsid w:val="00C413EE"/>
    <w:rsid w:val="00C42055"/>
    <w:rsid w:val="00C46DD1"/>
    <w:rsid w:val="00C47FAA"/>
    <w:rsid w:val="00C516CF"/>
    <w:rsid w:val="00C51752"/>
    <w:rsid w:val="00C5313A"/>
    <w:rsid w:val="00C53370"/>
    <w:rsid w:val="00C54DB4"/>
    <w:rsid w:val="00C57D88"/>
    <w:rsid w:val="00C61635"/>
    <w:rsid w:val="00C675F4"/>
    <w:rsid w:val="00C70A8C"/>
    <w:rsid w:val="00C720A1"/>
    <w:rsid w:val="00C7397C"/>
    <w:rsid w:val="00C74967"/>
    <w:rsid w:val="00C767A5"/>
    <w:rsid w:val="00C8094F"/>
    <w:rsid w:val="00C81CD4"/>
    <w:rsid w:val="00C90DE8"/>
    <w:rsid w:val="00C92615"/>
    <w:rsid w:val="00C949C7"/>
    <w:rsid w:val="00C95EFB"/>
    <w:rsid w:val="00C96159"/>
    <w:rsid w:val="00CA236C"/>
    <w:rsid w:val="00CA3001"/>
    <w:rsid w:val="00CA36A3"/>
    <w:rsid w:val="00CA407E"/>
    <w:rsid w:val="00CA6DA4"/>
    <w:rsid w:val="00CA6EDF"/>
    <w:rsid w:val="00CB05E5"/>
    <w:rsid w:val="00CB23DF"/>
    <w:rsid w:val="00CB5D0E"/>
    <w:rsid w:val="00CB74DA"/>
    <w:rsid w:val="00CC05DF"/>
    <w:rsid w:val="00CC095B"/>
    <w:rsid w:val="00CC210B"/>
    <w:rsid w:val="00CC470F"/>
    <w:rsid w:val="00CD448D"/>
    <w:rsid w:val="00CD6139"/>
    <w:rsid w:val="00CD67D3"/>
    <w:rsid w:val="00CE33A1"/>
    <w:rsid w:val="00CE3FAA"/>
    <w:rsid w:val="00CE43E8"/>
    <w:rsid w:val="00CE6F4F"/>
    <w:rsid w:val="00CF58BD"/>
    <w:rsid w:val="00CF75DE"/>
    <w:rsid w:val="00D01545"/>
    <w:rsid w:val="00D04834"/>
    <w:rsid w:val="00D04BAC"/>
    <w:rsid w:val="00D141F2"/>
    <w:rsid w:val="00D14E7C"/>
    <w:rsid w:val="00D153D2"/>
    <w:rsid w:val="00D26E76"/>
    <w:rsid w:val="00D26FF5"/>
    <w:rsid w:val="00D3047D"/>
    <w:rsid w:val="00D33AEC"/>
    <w:rsid w:val="00D33F87"/>
    <w:rsid w:val="00D41720"/>
    <w:rsid w:val="00D50F8E"/>
    <w:rsid w:val="00D54B54"/>
    <w:rsid w:val="00D57406"/>
    <w:rsid w:val="00D601C5"/>
    <w:rsid w:val="00D60702"/>
    <w:rsid w:val="00D639A3"/>
    <w:rsid w:val="00D64014"/>
    <w:rsid w:val="00D66479"/>
    <w:rsid w:val="00D70676"/>
    <w:rsid w:val="00D7134E"/>
    <w:rsid w:val="00D7146A"/>
    <w:rsid w:val="00D80015"/>
    <w:rsid w:val="00D8219F"/>
    <w:rsid w:val="00D8289C"/>
    <w:rsid w:val="00D8531F"/>
    <w:rsid w:val="00D90755"/>
    <w:rsid w:val="00D94BC8"/>
    <w:rsid w:val="00D95CC1"/>
    <w:rsid w:val="00D96D93"/>
    <w:rsid w:val="00DA2AAF"/>
    <w:rsid w:val="00DA4678"/>
    <w:rsid w:val="00DB2208"/>
    <w:rsid w:val="00DC3ADB"/>
    <w:rsid w:val="00DC459F"/>
    <w:rsid w:val="00DC4837"/>
    <w:rsid w:val="00DC487C"/>
    <w:rsid w:val="00DD38F9"/>
    <w:rsid w:val="00DD61CD"/>
    <w:rsid w:val="00DD6E37"/>
    <w:rsid w:val="00DD6ED4"/>
    <w:rsid w:val="00DD7A4C"/>
    <w:rsid w:val="00DE04D5"/>
    <w:rsid w:val="00DE08F1"/>
    <w:rsid w:val="00DE3F1B"/>
    <w:rsid w:val="00DE5467"/>
    <w:rsid w:val="00DF09B3"/>
    <w:rsid w:val="00E002C8"/>
    <w:rsid w:val="00E01AB2"/>
    <w:rsid w:val="00E02DAC"/>
    <w:rsid w:val="00E0430D"/>
    <w:rsid w:val="00E10818"/>
    <w:rsid w:val="00E11847"/>
    <w:rsid w:val="00E136B9"/>
    <w:rsid w:val="00E16ACF"/>
    <w:rsid w:val="00E1727D"/>
    <w:rsid w:val="00E20E87"/>
    <w:rsid w:val="00E22F61"/>
    <w:rsid w:val="00E2318D"/>
    <w:rsid w:val="00E23843"/>
    <w:rsid w:val="00E2397E"/>
    <w:rsid w:val="00E30511"/>
    <w:rsid w:val="00E30B1A"/>
    <w:rsid w:val="00E312F3"/>
    <w:rsid w:val="00E31B6A"/>
    <w:rsid w:val="00E324EB"/>
    <w:rsid w:val="00E333F0"/>
    <w:rsid w:val="00E345F0"/>
    <w:rsid w:val="00E428A5"/>
    <w:rsid w:val="00E430F6"/>
    <w:rsid w:val="00E50FB6"/>
    <w:rsid w:val="00E51362"/>
    <w:rsid w:val="00E535F1"/>
    <w:rsid w:val="00E56AD7"/>
    <w:rsid w:val="00E60379"/>
    <w:rsid w:val="00E65F33"/>
    <w:rsid w:val="00E70512"/>
    <w:rsid w:val="00E71C45"/>
    <w:rsid w:val="00E80599"/>
    <w:rsid w:val="00E8444C"/>
    <w:rsid w:val="00E86CBB"/>
    <w:rsid w:val="00E872F0"/>
    <w:rsid w:val="00E922C6"/>
    <w:rsid w:val="00E9242D"/>
    <w:rsid w:val="00E95A06"/>
    <w:rsid w:val="00EA25BB"/>
    <w:rsid w:val="00EA735C"/>
    <w:rsid w:val="00EA7492"/>
    <w:rsid w:val="00EB3A6F"/>
    <w:rsid w:val="00EB463D"/>
    <w:rsid w:val="00EB4E37"/>
    <w:rsid w:val="00EB662F"/>
    <w:rsid w:val="00EC08BF"/>
    <w:rsid w:val="00EC0D6C"/>
    <w:rsid w:val="00EC42CB"/>
    <w:rsid w:val="00EC7B8A"/>
    <w:rsid w:val="00ED6689"/>
    <w:rsid w:val="00ED6779"/>
    <w:rsid w:val="00ED6E0F"/>
    <w:rsid w:val="00EE002F"/>
    <w:rsid w:val="00EE1E44"/>
    <w:rsid w:val="00EF07FA"/>
    <w:rsid w:val="00F00687"/>
    <w:rsid w:val="00F05BAB"/>
    <w:rsid w:val="00F1245D"/>
    <w:rsid w:val="00F20F99"/>
    <w:rsid w:val="00F241D4"/>
    <w:rsid w:val="00F26C66"/>
    <w:rsid w:val="00F32189"/>
    <w:rsid w:val="00F3358A"/>
    <w:rsid w:val="00F33E9A"/>
    <w:rsid w:val="00F4069E"/>
    <w:rsid w:val="00F414C2"/>
    <w:rsid w:val="00F52565"/>
    <w:rsid w:val="00F56011"/>
    <w:rsid w:val="00F60B45"/>
    <w:rsid w:val="00F62490"/>
    <w:rsid w:val="00F6317E"/>
    <w:rsid w:val="00F65E9A"/>
    <w:rsid w:val="00F71A11"/>
    <w:rsid w:val="00F73426"/>
    <w:rsid w:val="00F7420C"/>
    <w:rsid w:val="00F802AC"/>
    <w:rsid w:val="00F80CAB"/>
    <w:rsid w:val="00F82D38"/>
    <w:rsid w:val="00F86867"/>
    <w:rsid w:val="00FA0B94"/>
    <w:rsid w:val="00FA3054"/>
    <w:rsid w:val="00FA36BA"/>
    <w:rsid w:val="00FA3A38"/>
    <w:rsid w:val="00FA47FE"/>
    <w:rsid w:val="00FB1902"/>
    <w:rsid w:val="00FB47D7"/>
    <w:rsid w:val="00FC0E87"/>
    <w:rsid w:val="00FC7887"/>
    <w:rsid w:val="00FD1B4D"/>
    <w:rsid w:val="00FD4830"/>
    <w:rsid w:val="00FD550E"/>
    <w:rsid w:val="00FD680B"/>
    <w:rsid w:val="00FF0907"/>
    <w:rsid w:val="00FF0ACE"/>
    <w:rsid w:val="00FF1A44"/>
    <w:rsid w:val="00FF1ED6"/>
    <w:rsid w:val="00FF32C7"/>
    <w:rsid w:val="00FF59AC"/>
    <w:rsid w:val="00FF5AF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323">
      <w:bodyDiv w:val="1"/>
      <w:marLeft w:val="0"/>
      <w:marRight w:val="0"/>
      <w:marTop w:val="0"/>
      <w:marBottom w:val="0"/>
      <w:divBdr>
        <w:top w:val="none" w:sz="0" w:space="0" w:color="auto"/>
        <w:left w:val="none" w:sz="0" w:space="0" w:color="auto"/>
        <w:bottom w:val="none" w:sz="0" w:space="0" w:color="auto"/>
        <w:right w:val="none" w:sz="0" w:space="0" w:color="auto"/>
      </w:divBdr>
    </w:div>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578978171">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 w:id="199433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computer-monitor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5829</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6838</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327</cp:revision>
  <cp:lastPrinted>2022-03-21T14:44:00Z</cp:lastPrinted>
  <dcterms:created xsi:type="dcterms:W3CDTF">2021-06-17T06:42:00Z</dcterms:created>
  <dcterms:modified xsi:type="dcterms:W3CDTF">2022-03-21T14:44:00Z</dcterms:modified>
  <cp:category/>
</cp:coreProperties>
</file>