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77777777"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DD00DE" w14:paraId="65EF4D94" w14:textId="77777777" w:rsidTr="00544A57">
        <w:trPr>
          <w:trHeight w:val="1359"/>
        </w:trPr>
        <w:tc>
          <w:tcPr>
            <w:tcW w:w="7230" w:type="dxa"/>
            <w:vAlign w:val="center"/>
          </w:tcPr>
          <w:p w14:paraId="72B61158" w14:textId="5DBBB23C" w:rsidR="004D2DFC" w:rsidRPr="00DD00DE" w:rsidRDefault="00E86CBB" w:rsidP="001D1304">
            <w:pPr>
              <w:pStyle w:val="Header"/>
              <w:rPr>
                <w:rFonts w:ascii="Arial" w:hAnsi="Arial"/>
                <w:sz w:val="52"/>
                <w:lang w:val="de-DE"/>
              </w:rPr>
            </w:pPr>
            <w:r w:rsidRPr="00DD00DE">
              <w:rPr>
                <w:rFonts w:ascii="Arial" w:hAnsi="Arial"/>
                <w:sz w:val="52"/>
                <w:lang w:val="de-DE"/>
              </w:rPr>
              <w:t>TV Sets</w:t>
            </w:r>
          </w:p>
          <w:p w14:paraId="4DC44DBC" w14:textId="77777777" w:rsidR="004D2DFC" w:rsidRPr="00DD00DE" w:rsidRDefault="004D2DFC" w:rsidP="001D1304">
            <w:pPr>
              <w:pStyle w:val="Header"/>
              <w:rPr>
                <w:rFonts w:ascii="Arial" w:hAnsi="Arial"/>
                <w:sz w:val="16"/>
                <w:szCs w:val="16"/>
                <w:lang w:val="de-DE"/>
              </w:rPr>
            </w:pPr>
          </w:p>
          <w:p w14:paraId="7EE70D5E" w14:textId="798E8AED" w:rsidR="004D2DFC" w:rsidRPr="00DD00DE" w:rsidRDefault="00EC1479" w:rsidP="001D1304">
            <w:pPr>
              <w:pStyle w:val="Header"/>
              <w:rPr>
                <w:rFonts w:ascii="Arial" w:hAnsi="Arial"/>
                <w:sz w:val="20"/>
                <w:lang w:val="de-DE"/>
              </w:rPr>
            </w:pPr>
            <w:hyperlink r:id="rId8" w:history="1">
              <w:r w:rsidR="00DD00DE">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77777777" w:rsidR="004D2DFC" w:rsidRPr="00DD00DE" w:rsidRDefault="00B8371D" w:rsidP="00C068A6">
            <w:pPr>
              <w:pStyle w:val="Header"/>
              <w:ind w:hanging="89"/>
              <w:jc w:val="center"/>
              <w:rPr>
                <w:lang w:val="de-DE"/>
              </w:rPr>
            </w:pPr>
            <w:r>
              <w:rPr>
                <w:noProof/>
                <w:lang w:val="pt-PT" w:eastAsia="pt-PT"/>
              </w:rPr>
              <w:drawing>
                <wp:anchor distT="0" distB="0" distL="114300" distR="114300" simplePos="0" relativeHeight="251671040" behindDoc="0" locked="0" layoutInCell="1" allowOverlap="1" wp14:anchorId="317B9A9D" wp14:editId="172D7C94">
                  <wp:simplePos x="0" y="0"/>
                  <wp:positionH relativeFrom="column">
                    <wp:posOffset>-577850</wp:posOffset>
                  </wp:positionH>
                  <wp:positionV relativeFrom="paragraph">
                    <wp:posOffset>-58420</wp:posOffset>
                  </wp:positionV>
                  <wp:extent cx="1673225" cy="1012190"/>
                  <wp:effectExtent l="0" t="0" r="3175"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1673225" cy="1012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DD00DE" w:rsidRDefault="00303312" w:rsidP="00303312">
      <w:pPr>
        <w:pBdr>
          <w:bottom w:val="single" w:sz="4" w:space="1" w:color="auto"/>
        </w:pBdr>
        <w:spacing w:after="0"/>
        <w:jc w:val="both"/>
        <w:rPr>
          <w:rFonts w:ascii="Arial" w:hAnsi="Arial" w:cs="Arial"/>
          <w:sz w:val="12"/>
          <w:szCs w:val="12"/>
          <w:lang w:val="de-DE"/>
        </w:rPr>
      </w:pPr>
    </w:p>
    <w:p w14:paraId="54D192D8" w14:textId="77777777" w:rsidR="00AF0B85" w:rsidRPr="00DD00DE" w:rsidRDefault="00AF0B85" w:rsidP="00303312">
      <w:pPr>
        <w:spacing w:after="0" w:line="300" w:lineRule="exact"/>
        <w:rPr>
          <w:rFonts w:ascii="Arial" w:hAnsi="Arial" w:cs="Arial"/>
          <w:sz w:val="20"/>
          <w:lang w:val="de-DE"/>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77777777"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Pr>
          <w:rFonts w:ascii="Arial" w:hAnsi="Arial"/>
          <w:sz w:val="20"/>
        </w:rPr>
        <w:t xml:space="preserve">TV sets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Topten selection criteria for Television sets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3E30BFE0" w14:textId="77777777" w:rsidR="00D03EC7" w:rsidRDefault="00D03EC7" w:rsidP="00D03EC7">
      <w:pPr>
        <w:spacing w:after="0" w:line="300" w:lineRule="exact"/>
        <w:jc w:val="both"/>
        <w:rPr>
          <w:rFonts w:ascii="Arial" w:hAnsi="Arial" w:cs="Arial"/>
          <w:sz w:val="20"/>
        </w:rPr>
      </w:pPr>
      <w:r w:rsidRPr="00C92615">
        <w:rPr>
          <w:rFonts w:ascii="Arial" w:hAnsi="Arial" w:cs="Arial"/>
          <w:sz w:val="20"/>
        </w:rPr>
        <w:t xml:space="preserve">Considering </w:t>
      </w:r>
      <w:r>
        <w:rPr>
          <w:rFonts w:ascii="Arial" w:hAnsi="Arial" w:cs="Arial"/>
          <w:sz w:val="20"/>
        </w:rPr>
        <w:t>television sets</w:t>
      </w:r>
      <w:r w:rsidRPr="00C92615">
        <w:rPr>
          <w:rFonts w:ascii="Arial" w:hAnsi="Arial" w:cs="Arial"/>
          <w:sz w:val="20"/>
        </w:rPr>
        <w:t xml:space="preserve"> 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rsidRPr="00E31B6A">
        <w:rPr>
          <w:rFonts w:ascii="Arial" w:hAnsi="Arial" w:cs="Arial"/>
          <w:sz w:val="20"/>
        </w:rPr>
        <w:t xml:space="preserve"> and the following assumptions</w:t>
      </w:r>
      <w:r>
        <w:rPr>
          <w:rFonts w:ascii="Arial" w:hAnsi="Arial" w:cs="Arial"/>
          <w:sz w:val="20"/>
        </w:rPr>
        <w:t>,</w:t>
      </w:r>
      <w:r w:rsidRPr="00E31B6A">
        <w:rPr>
          <w:rFonts w:ascii="Arial" w:hAnsi="Arial" w:cs="Arial"/>
          <w:sz w:val="20"/>
        </w:rPr>
        <w:t xml:space="preserve"> </w:t>
      </w:r>
      <w:r>
        <w:rPr>
          <w:rFonts w:ascii="Arial" w:hAnsi="Arial" w:cs="Arial"/>
          <w:sz w:val="20"/>
        </w:rPr>
        <w:t xml:space="preserve">it is possible to achieve the </w:t>
      </w:r>
      <w:r w:rsidRPr="00C92615">
        <w:rPr>
          <w:rFonts w:ascii="Arial" w:hAnsi="Arial" w:cs="Arial"/>
          <w:sz w:val="20"/>
        </w:rPr>
        <w:t>s</w:t>
      </w:r>
      <w:r>
        <w:rPr>
          <w:rFonts w:ascii="Arial" w:hAnsi="Arial" w:cs="Arial"/>
          <w:sz w:val="20"/>
        </w:rPr>
        <w:t>avings indicated in the next table</w:t>
      </w:r>
      <w:r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10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60C045B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Daily use: </w:t>
            </w:r>
            <w:r w:rsidR="004D2318">
              <w:rPr>
                <w:rFonts w:ascii="Arial" w:hAnsi="Arial" w:cs="Arial"/>
                <w:sz w:val="20"/>
              </w:rPr>
              <w:t>4</w:t>
            </w:r>
            <w:r>
              <w:rPr>
                <w:rFonts w:ascii="Arial" w:hAnsi="Arial" w:cs="Arial"/>
                <w:sz w:val="20"/>
              </w:rPr>
              <w:t xml:space="preserve">h in on-mode </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77777777" w:rsidR="00E86CBB" w:rsidRDefault="00E86CBB" w:rsidP="00E86CBB">
      <w:pPr>
        <w:spacing w:after="0" w:line="300" w:lineRule="exact"/>
        <w:jc w:val="both"/>
        <w:rPr>
          <w:rFonts w:ascii="Arial" w:hAnsi="Arial" w:cs="Arial"/>
          <w:sz w:val="20"/>
        </w:rPr>
      </w:pPr>
    </w:p>
    <w:p w14:paraId="244808BD" w14:textId="77777777" w:rsidR="00E86CBB" w:rsidRDefault="00E86CBB" w:rsidP="00E86CBB">
      <w:pPr>
        <w:spacing w:after="0" w:line="300" w:lineRule="exact"/>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786"/>
        <w:gridCol w:w="1599"/>
        <w:gridCol w:w="1785"/>
        <w:gridCol w:w="276"/>
        <w:gridCol w:w="1785"/>
        <w:gridCol w:w="1785"/>
      </w:tblGrid>
      <w:tr w:rsidR="00E86CBB" w:rsidRPr="00D4357A" w14:paraId="27956825" w14:textId="77777777" w:rsidTr="003F27AF">
        <w:trPr>
          <w:trHeight w:val="300"/>
        </w:trPr>
        <w:tc>
          <w:tcPr>
            <w:tcW w:w="990" w:type="pct"/>
            <w:tcBorders>
              <w:top w:val="nil"/>
              <w:left w:val="nil"/>
              <w:bottom w:val="single" w:sz="8" w:space="0" w:color="auto"/>
              <w:right w:val="single" w:sz="8" w:space="0" w:color="auto"/>
            </w:tcBorders>
            <w:shd w:val="clear" w:color="auto" w:fill="auto"/>
            <w:vAlign w:val="center"/>
            <w:hideMark/>
          </w:tcPr>
          <w:p w14:paraId="7A83FD0B"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886" w:type="pct"/>
            <w:tcBorders>
              <w:top w:val="single" w:sz="8" w:space="0" w:color="auto"/>
              <w:left w:val="nil"/>
              <w:bottom w:val="single" w:sz="8" w:space="0" w:color="auto"/>
              <w:right w:val="single" w:sz="8" w:space="0" w:color="auto"/>
            </w:tcBorders>
            <w:shd w:val="clear" w:color="000000" w:fill="C2D69B"/>
            <w:vAlign w:val="center"/>
            <w:hideMark/>
          </w:tcPr>
          <w:p w14:paraId="348F8CA7"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990" w:type="pct"/>
            <w:tcBorders>
              <w:top w:val="single" w:sz="8" w:space="0" w:color="auto"/>
              <w:left w:val="nil"/>
              <w:bottom w:val="single" w:sz="8" w:space="0" w:color="auto"/>
              <w:right w:val="single" w:sz="8" w:space="0" w:color="auto"/>
            </w:tcBorders>
            <w:shd w:val="clear" w:color="000000" w:fill="D99594"/>
            <w:vAlign w:val="center"/>
            <w:hideMark/>
          </w:tcPr>
          <w:p w14:paraId="0213ADAD"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c>
          <w:tcPr>
            <w:tcW w:w="153" w:type="pct"/>
            <w:tcBorders>
              <w:top w:val="nil"/>
              <w:left w:val="nil"/>
              <w:bottom w:val="nil"/>
              <w:right w:val="single" w:sz="8" w:space="0" w:color="auto"/>
            </w:tcBorders>
            <w:shd w:val="clear" w:color="auto" w:fill="auto"/>
            <w:vAlign w:val="center"/>
            <w:hideMark/>
          </w:tcPr>
          <w:p w14:paraId="47FA7281"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 </w:t>
            </w:r>
          </w:p>
        </w:tc>
        <w:tc>
          <w:tcPr>
            <w:tcW w:w="990" w:type="pct"/>
            <w:tcBorders>
              <w:top w:val="single" w:sz="8" w:space="0" w:color="auto"/>
              <w:left w:val="nil"/>
              <w:bottom w:val="single" w:sz="8" w:space="0" w:color="auto"/>
              <w:right w:val="single" w:sz="8" w:space="0" w:color="auto"/>
            </w:tcBorders>
            <w:shd w:val="clear" w:color="000000" w:fill="C2D69B"/>
            <w:vAlign w:val="center"/>
            <w:hideMark/>
          </w:tcPr>
          <w:p w14:paraId="6E07A298"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990" w:type="pct"/>
            <w:tcBorders>
              <w:top w:val="single" w:sz="8" w:space="0" w:color="auto"/>
              <w:left w:val="nil"/>
              <w:bottom w:val="single" w:sz="8" w:space="0" w:color="auto"/>
              <w:right w:val="single" w:sz="8" w:space="0" w:color="auto"/>
            </w:tcBorders>
            <w:shd w:val="clear" w:color="000000" w:fill="D99594"/>
            <w:vAlign w:val="center"/>
            <w:hideMark/>
          </w:tcPr>
          <w:p w14:paraId="35F588FF"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r>
      <w:tr w:rsidR="00E86CBB" w:rsidRPr="00D4357A" w14:paraId="15077441" w14:textId="77777777" w:rsidTr="003F27AF">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29C90E30" w14:textId="77777777" w:rsidR="00E86CBB" w:rsidRPr="00D4357A" w:rsidRDefault="00E86CBB" w:rsidP="003F27AF">
            <w:pPr>
              <w:spacing w:after="0"/>
              <w:rPr>
                <w:rFonts w:ascii="Arial" w:hAnsi="Arial" w:cs="Arial"/>
                <w:color w:val="000000"/>
                <w:sz w:val="20"/>
                <w:lang w:val="de-DE" w:eastAsia="de-DE"/>
              </w:rPr>
            </w:pPr>
            <w:r w:rsidRPr="00D4357A">
              <w:rPr>
                <w:rFonts w:ascii="Arial" w:hAnsi="Arial" w:cs="Arial"/>
                <w:color w:val="000000"/>
                <w:sz w:val="20"/>
                <w:lang w:val="de-DE" w:eastAsia="de-DE"/>
              </w:rPr>
              <w:t xml:space="preserve"> Screen diagonal</w:t>
            </w:r>
          </w:p>
        </w:tc>
        <w:tc>
          <w:tcPr>
            <w:tcW w:w="886" w:type="pct"/>
            <w:tcBorders>
              <w:top w:val="nil"/>
              <w:left w:val="nil"/>
              <w:bottom w:val="single" w:sz="8" w:space="0" w:color="auto"/>
              <w:right w:val="single" w:sz="8" w:space="0" w:color="auto"/>
            </w:tcBorders>
            <w:shd w:val="clear" w:color="auto" w:fill="auto"/>
            <w:vAlign w:val="center"/>
            <w:hideMark/>
          </w:tcPr>
          <w:p w14:paraId="21320A80"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109cm / 43"</w:t>
            </w:r>
          </w:p>
        </w:tc>
        <w:tc>
          <w:tcPr>
            <w:tcW w:w="990" w:type="pct"/>
            <w:tcBorders>
              <w:top w:val="nil"/>
              <w:left w:val="nil"/>
              <w:bottom w:val="single" w:sz="8" w:space="0" w:color="auto"/>
              <w:right w:val="single" w:sz="8" w:space="0" w:color="auto"/>
            </w:tcBorders>
            <w:shd w:val="clear" w:color="auto" w:fill="auto"/>
            <w:vAlign w:val="center"/>
            <w:hideMark/>
          </w:tcPr>
          <w:p w14:paraId="17C999C8"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109cm / 43"</w:t>
            </w:r>
          </w:p>
        </w:tc>
        <w:tc>
          <w:tcPr>
            <w:tcW w:w="153" w:type="pct"/>
            <w:tcBorders>
              <w:top w:val="nil"/>
              <w:left w:val="nil"/>
              <w:bottom w:val="nil"/>
              <w:right w:val="single" w:sz="8" w:space="0" w:color="auto"/>
            </w:tcBorders>
            <w:shd w:val="clear" w:color="auto" w:fill="auto"/>
            <w:vAlign w:val="center"/>
            <w:hideMark/>
          </w:tcPr>
          <w:p w14:paraId="2C1D59DC"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7D0D1C58"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165cm / 65"</w:t>
            </w:r>
          </w:p>
        </w:tc>
        <w:tc>
          <w:tcPr>
            <w:tcW w:w="990" w:type="pct"/>
            <w:tcBorders>
              <w:top w:val="nil"/>
              <w:left w:val="nil"/>
              <w:bottom w:val="single" w:sz="8" w:space="0" w:color="auto"/>
              <w:right w:val="single" w:sz="8" w:space="0" w:color="auto"/>
            </w:tcBorders>
            <w:shd w:val="clear" w:color="auto" w:fill="auto"/>
            <w:vAlign w:val="center"/>
            <w:hideMark/>
          </w:tcPr>
          <w:p w14:paraId="7B054A7C"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165cm / 65"</w:t>
            </w:r>
          </w:p>
        </w:tc>
      </w:tr>
      <w:tr w:rsidR="00E86CBB" w:rsidRPr="00D4357A" w14:paraId="01FB70E4" w14:textId="77777777" w:rsidTr="003F27AF">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5A03A92B" w14:textId="77777777" w:rsidR="00E86CBB" w:rsidRPr="00D4357A" w:rsidRDefault="00E86CBB" w:rsidP="003F27AF">
            <w:pPr>
              <w:spacing w:after="0"/>
              <w:rPr>
                <w:rFonts w:ascii="Arial" w:hAnsi="Arial" w:cs="Arial"/>
                <w:color w:val="000000"/>
                <w:sz w:val="20"/>
                <w:lang w:val="de-DE" w:eastAsia="de-DE"/>
              </w:rPr>
            </w:pPr>
            <w:r w:rsidRPr="00D4357A">
              <w:rPr>
                <w:rFonts w:ascii="Arial" w:hAnsi="Arial" w:cs="Arial"/>
                <w:color w:val="000000"/>
                <w:sz w:val="20"/>
                <w:lang w:val="de-DE" w:eastAsia="de-DE"/>
              </w:rPr>
              <w:t xml:space="preserve"> Energy class</w:t>
            </w:r>
          </w:p>
        </w:tc>
        <w:tc>
          <w:tcPr>
            <w:tcW w:w="886" w:type="pct"/>
            <w:tcBorders>
              <w:top w:val="nil"/>
              <w:left w:val="nil"/>
              <w:bottom w:val="single" w:sz="8" w:space="0" w:color="auto"/>
              <w:right w:val="single" w:sz="8" w:space="0" w:color="auto"/>
            </w:tcBorders>
            <w:shd w:val="clear" w:color="auto" w:fill="auto"/>
            <w:vAlign w:val="center"/>
            <w:hideMark/>
          </w:tcPr>
          <w:p w14:paraId="597DC25E"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E</w:t>
            </w:r>
          </w:p>
        </w:tc>
        <w:tc>
          <w:tcPr>
            <w:tcW w:w="990" w:type="pct"/>
            <w:tcBorders>
              <w:top w:val="nil"/>
              <w:left w:val="nil"/>
              <w:bottom w:val="single" w:sz="8" w:space="0" w:color="auto"/>
              <w:right w:val="single" w:sz="8" w:space="0" w:color="auto"/>
            </w:tcBorders>
            <w:shd w:val="clear" w:color="auto" w:fill="auto"/>
            <w:vAlign w:val="center"/>
            <w:hideMark/>
          </w:tcPr>
          <w:p w14:paraId="489671A1"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F</w:t>
            </w:r>
          </w:p>
        </w:tc>
        <w:tc>
          <w:tcPr>
            <w:tcW w:w="153" w:type="pct"/>
            <w:tcBorders>
              <w:top w:val="nil"/>
              <w:left w:val="nil"/>
              <w:bottom w:val="nil"/>
              <w:right w:val="single" w:sz="8" w:space="0" w:color="auto"/>
            </w:tcBorders>
            <w:shd w:val="clear" w:color="auto" w:fill="auto"/>
            <w:vAlign w:val="center"/>
            <w:hideMark/>
          </w:tcPr>
          <w:p w14:paraId="4E921364"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54FEBE5D"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E</w:t>
            </w:r>
          </w:p>
        </w:tc>
        <w:tc>
          <w:tcPr>
            <w:tcW w:w="990" w:type="pct"/>
            <w:tcBorders>
              <w:top w:val="nil"/>
              <w:left w:val="nil"/>
              <w:bottom w:val="single" w:sz="8" w:space="0" w:color="auto"/>
              <w:right w:val="single" w:sz="8" w:space="0" w:color="auto"/>
            </w:tcBorders>
            <w:shd w:val="clear" w:color="auto" w:fill="auto"/>
            <w:vAlign w:val="center"/>
            <w:hideMark/>
          </w:tcPr>
          <w:p w14:paraId="4BD9EA39"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G</w:t>
            </w:r>
          </w:p>
        </w:tc>
      </w:tr>
      <w:tr w:rsidR="00E86CBB" w:rsidRPr="00D4357A" w14:paraId="338A4890" w14:textId="77777777" w:rsidTr="003F27AF">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262688B0" w14:textId="77777777" w:rsidR="00E86CBB" w:rsidRPr="00AC2931" w:rsidRDefault="00E86CBB" w:rsidP="003F27AF">
            <w:pPr>
              <w:spacing w:after="0"/>
              <w:rPr>
                <w:rFonts w:ascii="Arial" w:hAnsi="Arial" w:cs="Arial"/>
                <w:color w:val="000000"/>
                <w:sz w:val="20"/>
                <w:lang w:val="de-DE" w:eastAsia="de-DE"/>
              </w:rPr>
            </w:pPr>
            <w:r w:rsidRPr="00AC2931">
              <w:rPr>
                <w:rFonts w:ascii="Arial" w:hAnsi="Arial" w:cs="Arial"/>
                <w:color w:val="000000"/>
                <w:sz w:val="20"/>
                <w:lang w:val="de-DE" w:eastAsia="de-DE"/>
              </w:rPr>
              <w:t>Resolution</w:t>
            </w:r>
          </w:p>
        </w:tc>
        <w:tc>
          <w:tcPr>
            <w:tcW w:w="886" w:type="pct"/>
            <w:tcBorders>
              <w:top w:val="nil"/>
              <w:left w:val="nil"/>
              <w:bottom w:val="single" w:sz="8" w:space="0" w:color="auto"/>
              <w:right w:val="single" w:sz="8" w:space="0" w:color="auto"/>
            </w:tcBorders>
            <w:shd w:val="clear" w:color="auto" w:fill="auto"/>
            <w:vAlign w:val="center"/>
            <w:hideMark/>
          </w:tcPr>
          <w:p w14:paraId="2F5681B6"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HD</w:t>
            </w:r>
          </w:p>
        </w:tc>
        <w:tc>
          <w:tcPr>
            <w:tcW w:w="990" w:type="pct"/>
            <w:tcBorders>
              <w:top w:val="nil"/>
              <w:left w:val="nil"/>
              <w:bottom w:val="single" w:sz="8" w:space="0" w:color="auto"/>
              <w:right w:val="single" w:sz="8" w:space="0" w:color="auto"/>
            </w:tcBorders>
            <w:shd w:val="clear" w:color="auto" w:fill="auto"/>
            <w:vAlign w:val="center"/>
            <w:hideMark/>
          </w:tcPr>
          <w:p w14:paraId="24BAEF52"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HD</w:t>
            </w:r>
          </w:p>
        </w:tc>
        <w:tc>
          <w:tcPr>
            <w:tcW w:w="153" w:type="pct"/>
            <w:tcBorders>
              <w:top w:val="nil"/>
              <w:left w:val="nil"/>
              <w:bottom w:val="nil"/>
              <w:right w:val="single" w:sz="8" w:space="0" w:color="auto"/>
            </w:tcBorders>
            <w:shd w:val="clear" w:color="auto" w:fill="auto"/>
            <w:vAlign w:val="center"/>
            <w:hideMark/>
          </w:tcPr>
          <w:p w14:paraId="327BEC37"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5721C223"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4K</w:t>
            </w:r>
          </w:p>
        </w:tc>
        <w:tc>
          <w:tcPr>
            <w:tcW w:w="990" w:type="pct"/>
            <w:tcBorders>
              <w:top w:val="nil"/>
              <w:left w:val="nil"/>
              <w:bottom w:val="single" w:sz="8" w:space="0" w:color="auto"/>
              <w:right w:val="single" w:sz="8" w:space="0" w:color="auto"/>
            </w:tcBorders>
            <w:shd w:val="clear" w:color="auto" w:fill="auto"/>
            <w:vAlign w:val="center"/>
            <w:hideMark/>
          </w:tcPr>
          <w:p w14:paraId="45218F7B"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4K</w:t>
            </w:r>
          </w:p>
        </w:tc>
      </w:tr>
      <w:tr w:rsidR="00E86CBB" w:rsidRPr="00D4357A" w14:paraId="68935BE8" w14:textId="77777777" w:rsidTr="003F27AF">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5B0E7ED9" w14:textId="77777777" w:rsidR="00E86CBB" w:rsidRPr="00AC2931" w:rsidRDefault="00E86CBB" w:rsidP="003F27AF">
            <w:pPr>
              <w:spacing w:after="0"/>
              <w:rPr>
                <w:rFonts w:ascii="Arial" w:hAnsi="Arial" w:cs="Arial"/>
                <w:color w:val="000000"/>
                <w:sz w:val="20"/>
                <w:lang w:val="de-DE" w:eastAsia="de-DE"/>
              </w:rPr>
            </w:pPr>
            <w:r w:rsidRPr="00AC2931">
              <w:rPr>
                <w:rFonts w:ascii="Arial" w:hAnsi="Arial" w:cs="Arial"/>
                <w:color w:val="000000"/>
                <w:sz w:val="20"/>
                <w:lang w:val="de-DE" w:eastAsia="de-DE"/>
              </w:rPr>
              <w:t xml:space="preserve"> Electricity consumption</w:t>
            </w:r>
          </w:p>
        </w:tc>
        <w:tc>
          <w:tcPr>
            <w:tcW w:w="886" w:type="pct"/>
            <w:tcBorders>
              <w:top w:val="nil"/>
              <w:left w:val="nil"/>
              <w:bottom w:val="single" w:sz="8" w:space="0" w:color="auto"/>
              <w:right w:val="single" w:sz="8" w:space="0" w:color="auto"/>
            </w:tcBorders>
            <w:shd w:val="clear" w:color="auto" w:fill="auto"/>
            <w:vAlign w:val="center"/>
            <w:hideMark/>
          </w:tcPr>
          <w:p w14:paraId="5625300F" w14:textId="631632F4" w:rsidR="00E86CBB" w:rsidRPr="00D4357A" w:rsidRDefault="0060008E"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42</w:t>
            </w:r>
            <w:r w:rsidR="00E86CBB" w:rsidRPr="00D4357A">
              <w:rPr>
                <w:rFonts w:ascii="Arial" w:hAnsi="Arial" w:cs="Arial"/>
                <w:color w:val="000000"/>
                <w:sz w:val="20"/>
                <w:lang w:val="de-DE" w:eastAsia="de-DE"/>
              </w:rPr>
              <w:t xml:space="preserve"> kWh/1000h</w:t>
            </w:r>
          </w:p>
        </w:tc>
        <w:tc>
          <w:tcPr>
            <w:tcW w:w="990" w:type="pct"/>
            <w:tcBorders>
              <w:top w:val="nil"/>
              <w:left w:val="nil"/>
              <w:bottom w:val="single" w:sz="8" w:space="0" w:color="auto"/>
              <w:right w:val="single" w:sz="8" w:space="0" w:color="auto"/>
            </w:tcBorders>
            <w:shd w:val="clear" w:color="auto" w:fill="auto"/>
            <w:vAlign w:val="center"/>
            <w:hideMark/>
          </w:tcPr>
          <w:p w14:paraId="6BB1987F" w14:textId="75DBC753" w:rsidR="00E86CBB" w:rsidRPr="00D4357A" w:rsidRDefault="0060008E"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51</w:t>
            </w:r>
            <w:r w:rsidR="00E86CBB" w:rsidRPr="00D4357A">
              <w:rPr>
                <w:rFonts w:ascii="Arial" w:hAnsi="Arial" w:cs="Arial"/>
                <w:color w:val="000000"/>
                <w:sz w:val="20"/>
                <w:lang w:val="de-DE" w:eastAsia="de-DE"/>
              </w:rPr>
              <w:t xml:space="preserve"> kWh/1000h</w:t>
            </w:r>
          </w:p>
        </w:tc>
        <w:tc>
          <w:tcPr>
            <w:tcW w:w="153" w:type="pct"/>
            <w:tcBorders>
              <w:top w:val="nil"/>
              <w:left w:val="nil"/>
              <w:bottom w:val="nil"/>
              <w:right w:val="single" w:sz="8" w:space="0" w:color="auto"/>
            </w:tcBorders>
            <w:shd w:val="clear" w:color="auto" w:fill="auto"/>
            <w:vAlign w:val="center"/>
            <w:hideMark/>
          </w:tcPr>
          <w:p w14:paraId="1734334E"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48A0F1DB" w14:textId="23695D00"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8</w:t>
            </w:r>
            <w:r w:rsidR="0060008E">
              <w:rPr>
                <w:rFonts w:ascii="Arial" w:hAnsi="Arial" w:cs="Arial"/>
                <w:color w:val="000000"/>
                <w:sz w:val="20"/>
                <w:lang w:val="de-DE" w:eastAsia="de-DE"/>
              </w:rPr>
              <w:t>5</w:t>
            </w:r>
            <w:r w:rsidRPr="00D4357A">
              <w:rPr>
                <w:rFonts w:ascii="Arial" w:hAnsi="Arial" w:cs="Arial"/>
                <w:color w:val="000000"/>
                <w:sz w:val="20"/>
                <w:lang w:val="de-DE" w:eastAsia="de-DE"/>
              </w:rPr>
              <w:t xml:space="preserve"> kWh/1000h</w:t>
            </w:r>
          </w:p>
        </w:tc>
        <w:tc>
          <w:tcPr>
            <w:tcW w:w="990" w:type="pct"/>
            <w:tcBorders>
              <w:top w:val="nil"/>
              <w:left w:val="nil"/>
              <w:bottom w:val="single" w:sz="8" w:space="0" w:color="auto"/>
              <w:right w:val="single" w:sz="8" w:space="0" w:color="auto"/>
            </w:tcBorders>
            <w:shd w:val="clear" w:color="auto" w:fill="auto"/>
            <w:vAlign w:val="center"/>
            <w:hideMark/>
          </w:tcPr>
          <w:p w14:paraId="616B3313" w14:textId="65AD96E0"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12</w:t>
            </w:r>
            <w:r w:rsidR="0060008E">
              <w:rPr>
                <w:rFonts w:ascii="Arial" w:hAnsi="Arial" w:cs="Arial"/>
                <w:color w:val="000000"/>
                <w:sz w:val="20"/>
                <w:lang w:val="de-DE" w:eastAsia="de-DE"/>
              </w:rPr>
              <w:t>6</w:t>
            </w:r>
            <w:r w:rsidRPr="00D4357A">
              <w:rPr>
                <w:rFonts w:ascii="Arial" w:hAnsi="Arial" w:cs="Arial"/>
                <w:color w:val="000000"/>
                <w:sz w:val="20"/>
                <w:lang w:val="de-DE" w:eastAsia="de-DE"/>
              </w:rPr>
              <w:t xml:space="preserve"> kWh/1000</w:t>
            </w:r>
            <w:r w:rsidR="007D774C">
              <w:rPr>
                <w:rFonts w:ascii="Arial" w:hAnsi="Arial" w:cs="Arial"/>
                <w:color w:val="000000"/>
                <w:sz w:val="20"/>
                <w:lang w:val="de-DE" w:eastAsia="de-DE"/>
              </w:rPr>
              <w:t>h</w:t>
            </w:r>
          </w:p>
        </w:tc>
      </w:tr>
      <w:tr w:rsidR="00E86CBB" w:rsidRPr="00D4357A" w14:paraId="6465482A" w14:textId="77777777" w:rsidTr="003F27AF">
        <w:trPr>
          <w:trHeight w:val="300"/>
        </w:trPr>
        <w:tc>
          <w:tcPr>
            <w:tcW w:w="990" w:type="pct"/>
            <w:tcBorders>
              <w:top w:val="nil"/>
              <w:left w:val="single" w:sz="8" w:space="0" w:color="auto"/>
              <w:bottom w:val="single" w:sz="12" w:space="0" w:color="auto"/>
              <w:right w:val="single" w:sz="8" w:space="0" w:color="auto"/>
            </w:tcBorders>
            <w:shd w:val="clear" w:color="auto" w:fill="auto"/>
            <w:vAlign w:val="center"/>
            <w:hideMark/>
          </w:tcPr>
          <w:p w14:paraId="7839C4B8" w14:textId="77777777" w:rsidR="00E86CBB" w:rsidRPr="00D4357A" w:rsidRDefault="00E86CBB" w:rsidP="003F27AF">
            <w:pPr>
              <w:spacing w:after="0"/>
              <w:rPr>
                <w:rFonts w:ascii="Arial" w:hAnsi="Arial" w:cs="Arial"/>
                <w:b/>
                <w:bCs/>
                <w:color w:val="000000"/>
                <w:sz w:val="18"/>
                <w:szCs w:val="18"/>
                <w:lang w:val="en-US" w:eastAsia="de-DE"/>
              </w:rPr>
            </w:pPr>
            <w:r w:rsidRPr="00D4357A">
              <w:rPr>
                <w:rFonts w:ascii="Arial" w:hAnsi="Arial" w:cs="Arial"/>
                <w:b/>
                <w:bCs/>
                <w:color w:val="000000"/>
                <w:sz w:val="18"/>
                <w:szCs w:val="18"/>
                <w:lang w:val="en-US" w:eastAsia="de-DE"/>
              </w:rPr>
              <w:t xml:space="preserve"> Use cost (electricity in 10 years)</w:t>
            </w:r>
          </w:p>
        </w:tc>
        <w:tc>
          <w:tcPr>
            <w:tcW w:w="886" w:type="pct"/>
            <w:tcBorders>
              <w:top w:val="nil"/>
              <w:left w:val="nil"/>
              <w:bottom w:val="single" w:sz="12" w:space="0" w:color="auto"/>
              <w:right w:val="single" w:sz="8" w:space="0" w:color="auto"/>
            </w:tcBorders>
            <w:shd w:val="clear" w:color="auto" w:fill="auto"/>
            <w:vAlign w:val="center"/>
            <w:hideMark/>
          </w:tcPr>
          <w:p w14:paraId="5B3CC732" w14:textId="0CBF976C" w:rsidR="00E86CBB" w:rsidRPr="00D4357A" w:rsidRDefault="006253D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121</w:t>
            </w:r>
            <w:r w:rsidR="00E86CBB" w:rsidRPr="00D4357A">
              <w:rPr>
                <w:rFonts w:ascii="Arial" w:hAnsi="Arial" w:cs="Arial"/>
                <w:color w:val="000000"/>
                <w:sz w:val="20"/>
                <w:lang w:val="de-DE" w:eastAsia="de-DE"/>
              </w:rPr>
              <w:t xml:space="preserve"> €</w:t>
            </w:r>
          </w:p>
        </w:tc>
        <w:tc>
          <w:tcPr>
            <w:tcW w:w="990" w:type="pct"/>
            <w:tcBorders>
              <w:top w:val="nil"/>
              <w:left w:val="nil"/>
              <w:bottom w:val="single" w:sz="12" w:space="0" w:color="auto"/>
              <w:right w:val="single" w:sz="8" w:space="0" w:color="auto"/>
            </w:tcBorders>
            <w:shd w:val="clear" w:color="auto" w:fill="auto"/>
            <w:vAlign w:val="center"/>
            <w:hideMark/>
          </w:tcPr>
          <w:p w14:paraId="45B2A8D9" w14:textId="01C6BC01" w:rsidR="00E86CBB" w:rsidRPr="00D4357A" w:rsidRDefault="006253D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147</w:t>
            </w:r>
            <w:r w:rsidR="00E86CBB" w:rsidRPr="00D4357A">
              <w:rPr>
                <w:rFonts w:ascii="Arial" w:hAnsi="Arial" w:cs="Arial"/>
                <w:color w:val="000000"/>
                <w:sz w:val="20"/>
                <w:lang w:val="de-DE" w:eastAsia="de-DE"/>
              </w:rPr>
              <w:t xml:space="preserve"> €</w:t>
            </w:r>
          </w:p>
        </w:tc>
        <w:tc>
          <w:tcPr>
            <w:tcW w:w="153" w:type="pct"/>
            <w:tcBorders>
              <w:top w:val="nil"/>
              <w:left w:val="nil"/>
              <w:bottom w:val="nil"/>
              <w:right w:val="single" w:sz="8" w:space="0" w:color="auto"/>
            </w:tcBorders>
            <w:shd w:val="clear" w:color="auto" w:fill="auto"/>
            <w:vAlign w:val="center"/>
            <w:hideMark/>
          </w:tcPr>
          <w:p w14:paraId="720464F2"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12" w:space="0" w:color="auto"/>
              <w:right w:val="single" w:sz="8" w:space="0" w:color="auto"/>
            </w:tcBorders>
            <w:shd w:val="clear" w:color="auto" w:fill="auto"/>
            <w:vAlign w:val="center"/>
            <w:hideMark/>
          </w:tcPr>
          <w:p w14:paraId="2DA18922" w14:textId="0E5892BB" w:rsidR="00E86CBB" w:rsidRPr="00D4357A" w:rsidRDefault="006253D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245</w:t>
            </w:r>
            <w:r w:rsidR="00E86CBB" w:rsidRPr="00D4357A">
              <w:rPr>
                <w:rFonts w:ascii="Arial" w:hAnsi="Arial" w:cs="Arial"/>
                <w:color w:val="000000"/>
                <w:sz w:val="20"/>
                <w:lang w:val="de-DE" w:eastAsia="de-DE"/>
              </w:rPr>
              <w:t xml:space="preserve"> €</w:t>
            </w:r>
          </w:p>
        </w:tc>
        <w:tc>
          <w:tcPr>
            <w:tcW w:w="990" w:type="pct"/>
            <w:tcBorders>
              <w:top w:val="nil"/>
              <w:left w:val="nil"/>
              <w:bottom w:val="single" w:sz="12" w:space="0" w:color="auto"/>
              <w:right w:val="single" w:sz="8" w:space="0" w:color="auto"/>
            </w:tcBorders>
            <w:shd w:val="clear" w:color="auto" w:fill="auto"/>
            <w:vAlign w:val="center"/>
            <w:hideMark/>
          </w:tcPr>
          <w:p w14:paraId="2916A283" w14:textId="44C0D348" w:rsidR="00E86CBB" w:rsidRPr="00D4357A" w:rsidRDefault="006253D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363</w:t>
            </w:r>
            <w:r w:rsidR="00E86CBB" w:rsidRPr="00D4357A">
              <w:rPr>
                <w:rFonts w:ascii="Arial" w:hAnsi="Arial" w:cs="Arial"/>
                <w:color w:val="000000"/>
                <w:sz w:val="20"/>
                <w:lang w:val="de-DE" w:eastAsia="de-DE"/>
              </w:rPr>
              <w:t xml:space="preserve"> €</w:t>
            </w:r>
          </w:p>
        </w:tc>
      </w:tr>
      <w:tr w:rsidR="00E86CBB" w:rsidRPr="00D4357A" w14:paraId="29F89167" w14:textId="77777777" w:rsidTr="003F27AF">
        <w:trPr>
          <w:trHeight w:val="630"/>
        </w:trPr>
        <w:tc>
          <w:tcPr>
            <w:tcW w:w="990" w:type="pct"/>
            <w:tcBorders>
              <w:top w:val="nil"/>
              <w:left w:val="single" w:sz="8" w:space="0" w:color="auto"/>
              <w:bottom w:val="single" w:sz="8" w:space="0" w:color="auto"/>
              <w:right w:val="single" w:sz="8" w:space="0" w:color="auto"/>
            </w:tcBorders>
            <w:shd w:val="clear" w:color="000000" w:fill="C2D69B"/>
            <w:vAlign w:val="center"/>
            <w:hideMark/>
          </w:tcPr>
          <w:p w14:paraId="1C8E6587"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Savings in 10 years</w:t>
            </w:r>
          </w:p>
        </w:tc>
        <w:tc>
          <w:tcPr>
            <w:tcW w:w="1876" w:type="pct"/>
            <w:gridSpan w:val="2"/>
            <w:tcBorders>
              <w:top w:val="nil"/>
              <w:left w:val="nil"/>
              <w:bottom w:val="single" w:sz="8" w:space="0" w:color="auto"/>
              <w:right w:val="single" w:sz="8" w:space="0" w:color="000000"/>
            </w:tcBorders>
            <w:shd w:val="clear" w:color="000000" w:fill="C2D69B"/>
            <w:vAlign w:val="center"/>
            <w:hideMark/>
          </w:tcPr>
          <w:p w14:paraId="1DD99F99" w14:textId="4045B503"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1</w:t>
            </w:r>
            <w:r w:rsidR="0060008E">
              <w:rPr>
                <w:rFonts w:ascii="Arial" w:hAnsi="Arial" w:cs="Arial"/>
                <w:b/>
                <w:bCs/>
                <w:color w:val="000000"/>
                <w:sz w:val="20"/>
                <w:lang w:val="de-DE" w:eastAsia="de-DE"/>
              </w:rPr>
              <w:t>8</w:t>
            </w:r>
            <w:r w:rsidRPr="00D4357A">
              <w:rPr>
                <w:rFonts w:ascii="Arial" w:hAnsi="Arial" w:cs="Arial"/>
                <w:b/>
                <w:bCs/>
                <w:color w:val="000000"/>
                <w:sz w:val="20"/>
                <w:lang w:val="de-DE" w:eastAsia="de-DE"/>
              </w:rPr>
              <w:t>% energy / unit</w:t>
            </w:r>
            <w:r w:rsidRPr="00D4357A">
              <w:rPr>
                <w:rFonts w:ascii="Arial" w:hAnsi="Arial" w:cs="Arial"/>
                <w:b/>
                <w:bCs/>
                <w:color w:val="000000"/>
                <w:sz w:val="20"/>
                <w:lang w:val="de-DE" w:eastAsia="de-DE"/>
              </w:rPr>
              <w:br/>
            </w:r>
            <w:r w:rsidRPr="003D7BFB">
              <w:rPr>
                <w:rFonts w:ascii="Arial" w:hAnsi="Arial" w:cs="Arial"/>
                <w:b/>
                <w:sz w:val="20"/>
              </w:rPr>
              <w:sym w:font="Wingdings" w:char="F0F0"/>
            </w:r>
            <w:r w:rsidRPr="00D4357A">
              <w:rPr>
                <w:rFonts w:ascii="Arial" w:hAnsi="Arial" w:cs="Arial"/>
                <w:b/>
                <w:bCs/>
                <w:color w:val="000000"/>
                <w:sz w:val="20"/>
                <w:lang w:val="de-DE" w:eastAsia="de-DE"/>
              </w:rPr>
              <w:t xml:space="preserve"> </w:t>
            </w:r>
            <w:r w:rsidR="006253D9">
              <w:rPr>
                <w:rFonts w:ascii="Arial" w:hAnsi="Arial" w:cs="Arial"/>
                <w:b/>
                <w:bCs/>
                <w:color w:val="000000"/>
                <w:sz w:val="20"/>
                <w:lang w:val="de-DE" w:eastAsia="de-DE"/>
              </w:rPr>
              <w:t>26</w:t>
            </w:r>
            <w:r w:rsidRPr="00D4357A">
              <w:rPr>
                <w:rFonts w:ascii="Arial" w:hAnsi="Arial" w:cs="Arial"/>
                <w:b/>
                <w:bCs/>
                <w:color w:val="000000"/>
                <w:sz w:val="20"/>
                <w:lang w:val="de-DE" w:eastAsia="de-DE"/>
              </w:rPr>
              <w:t xml:space="preserve"> € / unit</w:t>
            </w:r>
          </w:p>
        </w:tc>
        <w:tc>
          <w:tcPr>
            <w:tcW w:w="153" w:type="pct"/>
            <w:tcBorders>
              <w:top w:val="nil"/>
              <w:left w:val="nil"/>
              <w:bottom w:val="nil"/>
              <w:right w:val="nil"/>
            </w:tcBorders>
            <w:shd w:val="clear" w:color="auto" w:fill="auto"/>
            <w:noWrap/>
            <w:vAlign w:val="bottom"/>
            <w:hideMark/>
          </w:tcPr>
          <w:p w14:paraId="40CC62DC" w14:textId="77777777" w:rsidR="00E86CBB" w:rsidRPr="00D4357A" w:rsidRDefault="00E86CBB" w:rsidP="003F27AF">
            <w:pPr>
              <w:spacing w:after="0"/>
              <w:jc w:val="center"/>
              <w:rPr>
                <w:rFonts w:ascii="Arial" w:hAnsi="Arial" w:cs="Arial"/>
                <w:b/>
                <w:bCs/>
                <w:color w:val="000000"/>
                <w:sz w:val="20"/>
                <w:lang w:val="de-DE" w:eastAsia="de-DE"/>
              </w:rPr>
            </w:pPr>
          </w:p>
        </w:tc>
        <w:tc>
          <w:tcPr>
            <w:tcW w:w="1980" w:type="pct"/>
            <w:gridSpan w:val="2"/>
            <w:tcBorders>
              <w:top w:val="single" w:sz="12" w:space="0" w:color="auto"/>
              <w:left w:val="single" w:sz="8" w:space="0" w:color="auto"/>
              <w:bottom w:val="single" w:sz="8" w:space="0" w:color="auto"/>
              <w:right w:val="single" w:sz="8" w:space="0" w:color="000000"/>
            </w:tcBorders>
            <w:shd w:val="clear" w:color="000000" w:fill="C2D69B"/>
            <w:vAlign w:val="center"/>
            <w:hideMark/>
          </w:tcPr>
          <w:p w14:paraId="7BF96730" w14:textId="4E6327A9"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33% energy / unit</w:t>
            </w:r>
            <w:r w:rsidRPr="00D4357A">
              <w:rPr>
                <w:rFonts w:ascii="Arial" w:hAnsi="Arial" w:cs="Arial"/>
                <w:b/>
                <w:bCs/>
                <w:color w:val="000000"/>
                <w:sz w:val="20"/>
                <w:lang w:val="de-DE" w:eastAsia="de-DE"/>
              </w:rPr>
              <w:br/>
            </w:r>
            <w:r w:rsidRPr="003D7BFB">
              <w:rPr>
                <w:rFonts w:ascii="Arial" w:hAnsi="Arial" w:cs="Arial"/>
                <w:b/>
                <w:sz w:val="20"/>
              </w:rPr>
              <w:sym w:font="Wingdings" w:char="F0F0"/>
            </w:r>
            <w:r>
              <w:rPr>
                <w:rFonts w:ascii="Arial" w:hAnsi="Arial" w:cs="Arial"/>
                <w:b/>
                <w:sz w:val="20"/>
              </w:rPr>
              <w:t xml:space="preserve"> </w:t>
            </w:r>
            <w:r w:rsidR="006253D9">
              <w:rPr>
                <w:rFonts w:ascii="Arial" w:hAnsi="Arial" w:cs="Arial"/>
                <w:b/>
                <w:sz w:val="20"/>
              </w:rPr>
              <w:t>118</w:t>
            </w:r>
            <w:r w:rsidRPr="00D4357A">
              <w:rPr>
                <w:rFonts w:ascii="Arial" w:hAnsi="Arial" w:cs="Arial"/>
                <w:b/>
                <w:bCs/>
                <w:color w:val="000000"/>
                <w:sz w:val="20"/>
                <w:lang w:val="de-DE" w:eastAsia="de-DE"/>
              </w:rPr>
              <w:t xml:space="preserve"> € / unit</w:t>
            </w:r>
          </w:p>
        </w:tc>
      </w:tr>
    </w:tbl>
    <w:p w14:paraId="3FEEE4B9" w14:textId="77777777" w:rsidR="00E86CBB" w:rsidRDefault="00E86CBB" w:rsidP="00E86CBB">
      <w:pPr>
        <w:spacing w:after="0" w:line="300" w:lineRule="exact"/>
        <w:jc w:val="both"/>
        <w:rPr>
          <w:rFonts w:ascii="Arial" w:hAnsi="Arial" w:cs="Arial"/>
          <w:sz w:val="20"/>
        </w:rPr>
      </w:pPr>
    </w:p>
    <w:p w14:paraId="4AC971E9" w14:textId="77777777" w:rsidR="00E86CBB" w:rsidRDefault="00E86CBB" w:rsidP="00E86CBB">
      <w:pPr>
        <w:spacing w:after="0" w:line="300" w:lineRule="exact"/>
        <w:jc w:val="both"/>
        <w:rPr>
          <w:rFonts w:ascii="Arial" w:hAnsi="Arial" w:cs="Arial"/>
          <w:sz w:val="20"/>
        </w:rPr>
      </w:pPr>
    </w:p>
    <w:p w14:paraId="6E2BC4B7" w14:textId="4B3F7A89" w:rsidR="00E86CBB" w:rsidRDefault="00E86CBB" w:rsidP="00E86CBB">
      <w:pPr>
        <w:spacing w:before="120" w:line="300" w:lineRule="exact"/>
        <w:jc w:val="both"/>
        <w:rPr>
          <w:rFonts w:ascii="Arial" w:hAnsi="Arial" w:cs="Arial"/>
          <w:sz w:val="20"/>
        </w:rPr>
      </w:pPr>
      <w:r w:rsidRPr="00C92615">
        <w:rPr>
          <w:rFonts w:ascii="Arial" w:hAnsi="Arial" w:cs="Arial"/>
          <w:sz w:val="20"/>
        </w:rPr>
        <w:lastRenderedPageBreak/>
        <w:t xml:space="preserve">Differences in electricity </w:t>
      </w:r>
      <w:r>
        <w:rPr>
          <w:rFonts w:ascii="Arial" w:hAnsi="Arial" w:cs="Arial"/>
          <w:sz w:val="20"/>
        </w:rPr>
        <w:t>consumption</w:t>
      </w:r>
      <w:r w:rsidRPr="00C92615">
        <w:rPr>
          <w:rFonts w:ascii="Arial" w:hAnsi="Arial" w:cs="Arial"/>
          <w:sz w:val="20"/>
        </w:rPr>
        <w:t xml:space="preserve"> between inefficient and Topten models rise as the screen size enlarge</w:t>
      </w:r>
      <w:r>
        <w:rPr>
          <w:rFonts w:ascii="Arial" w:hAnsi="Arial" w:cs="Arial"/>
          <w:sz w:val="20"/>
        </w:rPr>
        <w:t>s</w:t>
      </w:r>
      <w:r w:rsidRPr="00C92615">
        <w:rPr>
          <w:rFonts w:ascii="Arial" w:hAnsi="Arial" w:cs="Arial"/>
          <w:sz w:val="20"/>
        </w:rPr>
        <w:t xml:space="preserve">, leading to higher energy savings and consequently greater money savings. </w:t>
      </w:r>
      <w:r>
        <w:rPr>
          <w:rFonts w:ascii="Arial" w:hAnsi="Arial" w:cs="Arial"/>
          <w:sz w:val="20"/>
        </w:rPr>
        <w:t>As the example shows, t</w:t>
      </w:r>
      <w:r w:rsidRPr="00C92615">
        <w:rPr>
          <w:rFonts w:ascii="Arial" w:hAnsi="Arial" w:cs="Arial"/>
          <w:sz w:val="20"/>
        </w:rPr>
        <w:t xml:space="preserve">otal savings can reach </w:t>
      </w:r>
      <w:r>
        <w:rPr>
          <w:rFonts w:ascii="Arial" w:hAnsi="Arial" w:cs="Arial"/>
          <w:sz w:val="20"/>
        </w:rPr>
        <w:t xml:space="preserve">33% </w:t>
      </w:r>
      <w:r w:rsidRPr="00C92615">
        <w:rPr>
          <w:rFonts w:ascii="Arial" w:hAnsi="Arial" w:cs="Arial"/>
          <w:sz w:val="20"/>
        </w:rPr>
        <w:t>reduction</w:t>
      </w:r>
      <w:r>
        <w:rPr>
          <w:rFonts w:ascii="Arial" w:hAnsi="Arial" w:cs="Arial"/>
          <w:sz w:val="20"/>
        </w:rPr>
        <w:t>, and they should be multiplied by the number of units included in the tender</w:t>
      </w:r>
      <w:r w:rsidRPr="00C92615">
        <w:rPr>
          <w:rFonts w:ascii="Arial" w:hAnsi="Arial" w:cs="Arial"/>
          <w:sz w:val="20"/>
        </w:rPr>
        <w:t>.</w:t>
      </w:r>
    </w:p>
    <w:p w14:paraId="5D4CB9AD" w14:textId="7D4C0E8C" w:rsidR="004D2318" w:rsidRDefault="004D2318" w:rsidP="00E86CBB">
      <w:pPr>
        <w:spacing w:before="120" w:line="300" w:lineRule="exact"/>
        <w:jc w:val="both"/>
        <w:rPr>
          <w:rFonts w:ascii="Arial" w:hAnsi="Arial" w:cs="Arial"/>
          <w:sz w:val="20"/>
        </w:rPr>
      </w:pPr>
      <w:r>
        <w:rPr>
          <w:rFonts w:ascii="Arial" w:hAnsi="Arial" w:cs="Arial"/>
          <w:sz w:val="20"/>
        </w:rPr>
        <w:t xml:space="preserve">The calculation assumes </w:t>
      </w:r>
      <w:r w:rsidR="00D278EA">
        <w:rPr>
          <w:rFonts w:ascii="Arial" w:hAnsi="Arial" w:cs="Arial"/>
          <w:sz w:val="20"/>
        </w:rPr>
        <w:t xml:space="preserve">a home usage </w:t>
      </w:r>
      <w:r>
        <w:rPr>
          <w:rFonts w:ascii="Arial" w:hAnsi="Arial" w:cs="Arial"/>
          <w:sz w:val="20"/>
        </w:rPr>
        <w:t xml:space="preserve">of </w:t>
      </w:r>
      <w:r w:rsidR="0020253B">
        <w:rPr>
          <w:rFonts w:ascii="Arial" w:hAnsi="Arial" w:cs="Arial"/>
          <w:sz w:val="20"/>
        </w:rPr>
        <w:t xml:space="preserve">four </w:t>
      </w:r>
      <w:r>
        <w:rPr>
          <w:rFonts w:ascii="Arial" w:hAnsi="Arial" w:cs="Arial"/>
          <w:sz w:val="20"/>
        </w:rPr>
        <w:t>hours per day. Due to longer daily usage, energy consumption and potential savings by TVs are higher in a professional environment than for home TVs.</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1B4A3141"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1DE81FC9"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E86CBB">
        <w:rPr>
          <w:rFonts w:ascii="Arial" w:hAnsi="Arial" w:cs="Arial"/>
          <w:b/>
          <w:smallCaps/>
          <w:szCs w:val="24"/>
        </w:rPr>
        <w:t xml:space="preserve">Television sets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77777777" w:rsidR="00E86CBB" w:rsidRPr="00B67515" w:rsidRDefault="00E86CBB" w:rsidP="00E86CBB">
      <w:pPr>
        <w:spacing w:after="0" w:line="300" w:lineRule="exact"/>
        <w:jc w:val="both"/>
        <w:rPr>
          <w:rFonts w:ascii="Arial" w:hAnsi="Arial" w:cs="Arial"/>
          <w:b/>
          <w:sz w:val="20"/>
        </w:rPr>
      </w:pPr>
      <w:r>
        <w:rPr>
          <w:rFonts w:ascii="Arial" w:hAnsi="Arial" w:cs="Arial"/>
          <w:b/>
          <w:sz w:val="20"/>
        </w:rPr>
        <w:t>Energy class</w:t>
      </w:r>
    </w:p>
    <w:p w14:paraId="64A08812" w14:textId="77777777" w:rsidR="00E86CBB" w:rsidRPr="00660638" w:rsidRDefault="00E86CBB" w:rsidP="00E86CBB">
      <w:pPr>
        <w:spacing w:line="300" w:lineRule="exact"/>
        <w:jc w:val="both"/>
        <w:rPr>
          <w:rFonts w:ascii="Arial" w:hAnsi="Arial" w:cs="Arial"/>
          <w:sz w:val="20"/>
        </w:rPr>
      </w:pPr>
      <w:r w:rsidRPr="00660638">
        <w:rPr>
          <w:rFonts w:ascii="Arial" w:hAnsi="Arial" w:cs="Arial"/>
          <w:sz w:val="20"/>
        </w:rPr>
        <w:t>Televisions sets must have energy efficiency class F or better (efficiency index &lt; 0.90), declared in agreement with the European Energy Label.</w:t>
      </w:r>
    </w:p>
    <w:p w14:paraId="7D90F63F" w14:textId="77777777" w:rsidR="00E86CBB" w:rsidRDefault="00E86CBB" w:rsidP="00E86CBB">
      <w:pPr>
        <w:spacing w:after="0" w:line="300" w:lineRule="exact"/>
        <w:jc w:val="both"/>
        <w:rPr>
          <w:rFonts w:ascii="Arial" w:hAnsi="Arial" w:cs="Arial"/>
          <w:bCs/>
          <w:sz w:val="20"/>
        </w:rPr>
      </w:pPr>
      <w:r w:rsidRPr="005858AE">
        <w:rPr>
          <w:rFonts w:ascii="Arial" w:hAnsi="Arial" w:cs="Arial"/>
          <w:bCs/>
          <w:sz w:val="20"/>
        </w:rPr>
        <w:t xml:space="preserve">This </w:t>
      </w:r>
      <w:r>
        <w:rPr>
          <w:rFonts w:ascii="Arial" w:hAnsi="Arial" w:cs="Arial"/>
          <w:bCs/>
          <w:sz w:val="20"/>
        </w:rPr>
        <w:t>applies to all TV models independent of their resolution.</w:t>
      </w:r>
    </w:p>
    <w:p w14:paraId="3D43DBAD" w14:textId="77777777" w:rsidR="00E86CBB" w:rsidRDefault="00E86CBB" w:rsidP="00E86CBB">
      <w:pPr>
        <w:spacing w:after="0" w:line="300" w:lineRule="exact"/>
        <w:jc w:val="both"/>
        <w:rPr>
          <w:rFonts w:ascii="Arial" w:hAnsi="Arial" w:cs="Arial"/>
          <w:bCs/>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77777777"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Pr>
          <w:rFonts w:ascii="Arial" w:hAnsi="Arial" w:cs="Arial"/>
          <w:snapToGrid w:val="0"/>
          <w:color w:val="000000"/>
          <w:sz w:val="20"/>
          <w:lang w:eastAsia="en-US"/>
        </w:rPr>
        <w:t xml:space="preserve">2019/2021 </w:t>
      </w:r>
      <w:r w:rsidRPr="0094762B">
        <w:rPr>
          <w:rFonts w:ascii="Arial" w:hAnsi="Arial" w:cs="Arial"/>
          <w:snapToGrid w:val="0"/>
          <w:color w:val="000000"/>
          <w:sz w:val="20"/>
          <w:lang w:eastAsia="en-US"/>
        </w:rPr>
        <w:t xml:space="preserve">and No. </w:t>
      </w:r>
      <w:r>
        <w:rPr>
          <w:rFonts w:ascii="Arial" w:hAnsi="Arial" w:cs="Arial"/>
          <w:snapToGrid w:val="0"/>
          <w:color w:val="000000"/>
          <w:sz w:val="20"/>
          <w:lang w:eastAsia="en-US"/>
        </w:rPr>
        <w:t>2019/2013</w:t>
      </w:r>
      <w:r w:rsidRPr="0094762B">
        <w:rPr>
          <w:rFonts w:ascii="Arial" w:hAnsi="Arial" w:cs="Arial"/>
          <w:snapToGrid w:val="0"/>
          <w:color w:val="000000"/>
          <w:sz w:val="20"/>
          <w:lang w:eastAsia="en-US"/>
        </w:rPr>
        <w:t>.</w:t>
      </w:r>
    </w:p>
    <w:p w14:paraId="6FF72EFF" w14:textId="77777777" w:rsidR="00FA3054" w:rsidRDefault="00FA3054" w:rsidP="00566E91">
      <w:pPr>
        <w:spacing w:after="240" w:line="300" w:lineRule="exact"/>
        <w:rPr>
          <w:rFonts w:ascii="Arial" w:hAnsi="Arial" w:cs="Arial"/>
          <w:smallCaps/>
          <w:szCs w:val="24"/>
          <w:u w:val="single"/>
        </w:rPr>
      </w:pPr>
    </w:p>
    <w:p w14:paraId="0AF4B925" w14:textId="4A531270" w:rsidR="00566E91" w:rsidRPr="00B67515" w:rsidRDefault="00566E91" w:rsidP="00566E9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45B804CD" w14:textId="77777777" w:rsidR="00E86CBB" w:rsidRPr="000D392B" w:rsidRDefault="00E86CBB" w:rsidP="00E86CBB">
      <w:pPr>
        <w:spacing w:after="60" w:line="300" w:lineRule="exact"/>
        <w:jc w:val="both"/>
        <w:rPr>
          <w:rFonts w:ascii="Arial" w:hAnsi="Arial"/>
          <w:b/>
          <w:sz w:val="20"/>
        </w:rPr>
      </w:pPr>
      <w:r>
        <w:rPr>
          <w:rFonts w:ascii="Arial" w:hAnsi="Arial"/>
          <w:b/>
          <w:sz w:val="20"/>
        </w:rPr>
        <w:t>S</w:t>
      </w:r>
      <w:r w:rsidRPr="000D392B">
        <w:rPr>
          <w:rFonts w:ascii="Arial" w:hAnsi="Arial"/>
          <w:b/>
          <w:sz w:val="20"/>
        </w:rPr>
        <w:t>creen definitions</w:t>
      </w:r>
    </w:p>
    <w:p w14:paraId="3F9CFF7E" w14:textId="77777777" w:rsidR="00E86CBB" w:rsidRDefault="00E86CBB" w:rsidP="00E86CBB">
      <w:pPr>
        <w:spacing w:line="300" w:lineRule="exact"/>
        <w:jc w:val="both"/>
        <w:rPr>
          <w:rFonts w:ascii="Arial" w:hAnsi="Arial" w:cs="Arial"/>
          <w:sz w:val="20"/>
        </w:rPr>
      </w:pPr>
      <w:r w:rsidRPr="00FF3651">
        <w:rPr>
          <w:rFonts w:ascii="Arial" w:hAnsi="Arial"/>
          <w:sz w:val="20"/>
        </w:rPr>
        <w:t>Currently</w:t>
      </w:r>
      <w:r>
        <w:rPr>
          <w:rFonts w:ascii="Arial" w:hAnsi="Arial"/>
          <w:sz w:val="20"/>
        </w:rPr>
        <w:t>,</w:t>
      </w:r>
      <w:r w:rsidRPr="00FF3651">
        <w:rPr>
          <w:rFonts w:ascii="Arial" w:hAnsi="Arial"/>
          <w:sz w:val="20"/>
        </w:rPr>
        <w:t xml:space="preserve"> </w:t>
      </w:r>
      <w:r>
        <w:rPr>
          <w:rFonts w:ascii="Arial" w:hAnsi="Arial"/>
          <w:sz w:val="20"/>
        </w:rPr>
        <w:t xml:space="preserve">4K or 4K UHD (Ultra High Definition) constitute for the majority of TVs offered in the market. While Full HD offered a resolution of 1920 x 1280 pixels, 4K has a resultion of </w:t>
      </w:r>
      <w:r>
        <w:rPr>
          <w:rFonts w:ascii="Arial" w:hAnsi="Arial" w:cs="Arial"/>
          <w:sz w:val="20"/>
        </w:rPr>
        <w:t xml:space="preserve">3840 horizontal pixels </w:t>
      </w:r>
      <w:r w:rsidRPr="001E5823">
        <w:rPr>
          <w:rFonts w:ascii="Arial" w:hAnsi="Arial" w:cs="Arial"/>
          <w:sz w:val="20"/>
        </w:rPr>
        <w:t>x</w:t>
      </w:r>
      <w:r>
        <w:rPr>
          <w:rFonts w:ascii="Arial" w:hAnsi="Arial" w:cs="Arial"/>
          <w:sz w:val="20"/>
        </w:rPr>
        <w:t xml:space="preserve"> </w:t>
      </w:r>
      <w:r w:rsidRPr="001E5823">
        <w:rPr>
          <w:rFonts w:ascii="Arial" w:hAnsi="Arial" w:cs="Arial"/>
          <w:sz w:val="20"/>
        </w:rPr>
        <w:t xml:space="preserve">2160 </w:t>
      </w:r>
      <w:r>
        <w:rPr>
          <w:rFonts w:ascii="Arial" w:hAnsi="Arial" w:cs="Arial"/>
          <w:sz w:val="20"/>
        </w:rPr>
        <w:t xml:space="preserve">vertical </w:t>
      </w:r>
      <w:r w:rsidRPr="001E5823">
        <w:rPr>
          <w:rFonts w:ascii="Arial" w:hAnsi="Arial" w:cs="Arial"/>
          <w:sz w:val="20"/>
        </w:rPr>
        <w:t>pixels</w:t>
      </w:r>
      <w:r>
        <w:rPr>
          <w:rFonts w:ascii="Arial" w:hAnsi="Arial" w:cs="Arial"/>
          <w:sz w:val="20"/>
        </w:rPr>
        <w:t>.</w:t>
      </w:r>
    </w:p>
    <w:p w14:paraId="05026882" w14:textId="16733598" w:rsidR="00E86CBB" w:rsidRDefault="00E86CBB" w:rsidP="00E86CBB">
      <w:pPr>
        <w:spacing w:line="300" w:lineRule="exact"/>
        <w:jc w:val="both"/>
        <w:rPr>
          <w:rFonts w:ascii="Arial" w:hAnsi="Arial" w:cs="Arial"/>
          <w:sz w:val="20"/>
        </w:rPr>
      </w:pPr>
      <w:r>
        <w:rPr>
          <w:rFonts w:ascii="Arial" w:hAnsi="Arial"/>
          <w:sz w:val="20"/>
        </w:rPr>
        <w:t>So far, 8K or 8K UHD (7680</w:t>
      </w:r>
      <w:r>
        <w:rPr>
          <w:rFonts w:ascii="Arial" w:hAnsi="Arial" w:cs="Arial"/>
          <w:sz w:val="20"/>
        </w:rPr>
        <w:t xml:space="preserve"> x 4320 pixels) TVs have start</w:t>
      </w:r>
      <w:r w:rsidR="006C066C">
        <w:rPr>
          <w:rFonts w:ascii="Arial" w:hAnsi="Arial" w:cs="Arial"/>
          <w:sz w:val="20"/>
        </w:rPr>
        <w:t>ed</w:t>
      </w:r>
      <w:r>
        <w:rPr>
          <w:rFonts w:ascii="Arial" w:hAnsi="Arial" w:cs="Arial"/>
          <w:sz w:val="20"/>
        </w:rPr>
        <w:t xml:space="preserve"> to emerge, yet have not gained significant popularity given its lack of availablity and high prices.</w:t>
      </w:r>
    </w:p>
    <w:p w14:paraId="4F9560F3" w14:textId="77777777" w:rsidR="00A21B94" w:rsidRDefault="00A21B94" w:rsidP="00E86CBB">
      <w:pPr>
        <w:spacing w:line="300" w:lineRule="exact"/>
        <w:jc w:val="both"/>
        <w:rPr>
          <w:rFonts w:ascii="Arial" w:hAnsi="Arial" w:cs="Arial"/>
          <w:sz w:val="20"/>
        </w:rPr>
      </w:pPr>
    </w:p>
    <w:p w14:paraId="298F9BB8" w14:textId="2F3EF188" w:rsidR="00A44889" w:rsidRDefault="00A44889" w:rsidP="00E86CBB">
      <w:pPr>
        <w:spacing w:line="300" w:lineRule="exact"/>
        <w:jc w:val="both"/>
        <w:rPr>
          <w:rFonts w:ascii="Arial" w:hAnsi="Arial" w:cs="Arial"/>
          <w:sz w:val="20"/>
        </w:rPr>
      </w:pPr>
    </w:p>
    <w:p w14:paraId="56948E27" w14:textId="14DE8064" w:rsidR="00A44889" w:rsidRDefault="00A21B94" w:rsidP="00E86CBB">
      <w:pPr>
        <w:spacing w:line="300" w:lineRule="exact"/>
        <w:jc w:val="both"/>
        <w:rPr>
          <w:rFonts w:ascii="Arial" w:hAnsi="Arial" w:cs="Arial"/>
          <w:sz w:val="20"/>
        </w:rPr>
      </w:pPr>
      <w:r>
        <w:rPr>
          <w:noProof/>
        </w:rPr>
        <w:lastRenderedPageBreak/>
        <mc:AlternateContent>
          <mc:Choice Requires="wps">
            <w:drawing>
              <wp:anchor distT="0" distB="0" distL="114300" distR="114300" simplePos="0" relativeHeight="251670016" behindDoc="0" locked="0" layoutInCell="1" allowOverlap="1" wp14:anchorId="0E5B4462" wp14:editId="5DFB89D4">
                <wp:simplePos x="0" y="0"/>
                <wp:positionH relativeFrom="column">
                  <wp:posOffset>2790825</wp:posOffset>
                </wp:positionH>
                <wp:positionV relativeFrom="paragraph">
                  <wp:posOffset>256540</wp:posOffset>
                </wp:positionV>
                <wp:extent cx="2462530"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62530" cy="389255"/>
                        </a:xfrm>
                        <a:prstGeom prst="rect">
                          <a:avLst/>
                        </a:prstGeom>
                        <a:solidFill>
                          <a:prstClr val="white"/>
                        </a:solidFill>
                        <a:ln>
                          <a:noFill/>
                        </a:ln>
                      </wps:spPr>
                      <wps:txbx>
                        <w:txbxContent>
                          <w:p w14:paraId="766C366D" w14:textId="0707D3D0" w:rsidR="00B8577A" w:rsidRPr="000E13D4" w:rsidRDefault="00B8577A" w:rsidP="00A21B94">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B27400">
                              <w:rPr>
                                <w:noProof/>
                              </w:rPr>
                              <w:t>1</w:t>
                            </w:r>
                            <w:r>
                              <w:fldChar w:fldCharType="end"/>
                            </w:r>
                            <w:r>
                              <w:t>: Overview of energy classes allowed on the European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B4462" id="_x0000_t202" coordsize="21600,21600" o:spt="202" path="m,l,21600r21600,l21600,xe">
                <v:stroke joinstyle="miter"/>
                <v:path gradientshapeok="t" o:connecttype="rect"/>
              </v:shapetype>
              <v:shape id="Text Box 1" o:spid="_x0000_s1026" type="#_x0000_t202" style="position:absolute;left:0;text-align:left;margin-left:219.75pt;margin-top:20.2pt;width:193.9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" stroked="f">
                <v:textbox inset="0,0,0,0">
                  <w:txbxContent>
                    <w:p w14:paraId="766C366D" w14:textId="0707D3D0" w:rsidR="00B8577A" w:rsidRPr="000E13D4" w:rsidRDefault="00B8577A" w:rsidP="00A21B94">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B27400">
                        <w:rPr>
                          <w:noProof/>
                        </w:rPr>
                        <w:t>1</w:t>
                      </w:r>
                      <w:r>
                        <w:fldChar w:fldCharType="end"/>
                      </w:r>
                      <w:r>
                        <w:t>: Overview of energy classes allowed on the European market</w:t>
                      </w:r>
                    </w:p>
                  </w:txbxContent>
                </v:textbox>
                <w10:wrap type="square"/>
              </v:shape>
            </w:pict>
          </mc:Fallback>
        </mc:AlternateContent>
      </w:r>
      <w:r w:rsidRPr="00D55201">
        <w:rPr>
          <w:noProof/>
        </w:rPr>
        <w:drawing>
          <wp:anchor distT="0" distB="0" distL="114300" distR="114300" simplePos="0" relativeHeight="251665920" behindDoc="0" locked="0" layoutInCell="1" allowOverlap="1" wp14:anchorId="0BF6811F" wp14:editId="69EC4104">
            <wp:simplePos x="0" y="0"/>
            <wp:positionH relativeFrom="margin">
              <wp:posOffset>39370</wp:posOffset>
            </wp:positionH>
            <wp:positionV relativeFrom="margin">
              <wp:posOffset>218274</wp:posOffset>
            </wp:positionV>
            <wp:extent cx="2407920" cy="4803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7920" cy="48037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41" w:rightFromText="141" w:vertAnchor="text" w:horzAnchor="margin" w:tblpXSpec="right" w:tblpY="770"/>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38"/>
      </w:tblGrid>
      <w:tr w:rsidR="00A21B94" w:rsidRPr="00743123" w14:paraId="2F82C6C3" w14:textId="77777777" w:rsidTr="00A21B94">
        <w:trPr>
          <w:trHeight w:val="550"/>
        </w:trPr>
        <w:tc>
          <w:tcPr>
            <w:tcW w:w="4847" w:type="dxa"/>
            <w:gridSpan w:val="2"/>
            <w:shd w:val="clear" w:color="auto" w:fill="D9D9D9" w:themeFill="background1" w:themeFillShade="D9"/>
            <w:vAlign w:val="center"/>
          </w:tcPr>
          <w:p w14:paraId="2A61B712" w14:textId="77777777" w:rsidR="00A21B94" w:rsidRDefault="00A21B94" w:rsidP="00A21B94">
            <w:pPr>
              <w:spacing w:after="0"/>
              <w:jc w:val="center"/>
              <w:rPr>
                <w:rFonts w:ascii="Arial" w:hAnsi="Arial"/>
                <w:b/>
                <w:smallCaps/>
                <w:sz w:val="20"/>
              </w:rPr>
            </w:pPr>
            <w:r>
              <w:rPr>
                <w:rFonts w:ascii="Arial" w:hAnsi="Arial"/>
                <w:b/>
                <w:smallCaps/>
                <w:sz w:val="20"/>
              </w:rPr>
              <w:t xml:space="preserve">Commission Delegated </w:t>
            </w:r>
            <w:r w:rsidRPr="00743123">
              <w:rPr>
                <w:rFonts w:ascii="Arial" w:hAnsi="Arial"/>
                <w:b/>
                <w:smallCaps/>
                <w:sz w:val="20"/>
              </w:rPr>
              <w:t xml:space="preserve">Regulation nº </w:t>
            </w:r>
            <w:r>
              <w:rPr>
                <w:rFonts w:ascii="Arial" w:hAnsi="Arial"/>
                <w:b/>
                <w:smallCaps/>
                <w:sz w:val="20"/>
              </w:rPr>
              <w:t>2019/2013</w:t>
            </w:r>
          </w:p>
          <w:p w14:paraId="01B8F45A" w14:textId="77777777" w:rsidR="00A21B94" w:rsidRPr="00743123" w:rsidRDefault="00A21B94" w:rsidP="00A21B94">
            <w:pPr>
              <w:spacing w:after="0"/>
              <w:jc w:val="center"/>
              <w:rPr>
                <w:rFonts w:ascii="Arial" w:hAnsi="Arial"/>
                <w:b/>
                <w:smallCaps/>
                <w:sz w:val="20"/>
              </w:rPr>
            </w:pPr>
          </w:p>
        </w:tc>
      </w:tr>
      <w:tr w:rsidR="00A21B94" w14:paraId="1ED82477" w14:textId="77777777" w:rsidTr="00A21B94">
        <w:trPr>
          <w:trHeight w:val="340"/>
        </w:trPr>
        <w:tc>
          <w:tcPr>
            <w:tcW w:w="2409" w:type="dxa"/>
            <w:shd w:val="clear" w:color="auto" w:fill="D9D9D9" w:themeFill="background1" w:themeFillShade="D9"/>
            <w:vAlign w:val="center"/>
          </w:tcPr>
          <w:p w14:paraId="470FE4CF" w14:textId="77777777" w:rsidR="00A21B94" w:rsidRDefault="00A21B94" w:rsidP="00A21B94">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shd w:val="clear" w:color="auto" w:fill="D9D9D9" w:themeFill="background1" w:themeFillShade="D9"/>
            <w:vAlign w:val="center"/>
          </w:tcPr>
          <w:p w14:paraId="47C9ABFF" w14:textId="77777777" w:rsidR="00A21B94" w:rsidRDefault="00A21B94" w:rsidP="00A21B94">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7D7920" w14:paraId="4A396B2D" w14:textId="77777777" w:rsidTr="00A21B94">
        <w:trPr>
          <w:trHeight w:val="340"/>
        </w:trPr>
        <w:tc>
          <w:tcPr>
            <w:tcW w:w="2409" w:type="dxa"/>
            <w:vAlign w:val="center"/>
          </w:tcPr>
          <w:p w14:paraId="64FBA000" w14:textId="77777777" w:rsidR="007D7920" w:rsidRDefault="007D7920" w:rsidP="007D7920">
            <w:pPr>
              <w:spacing w:after="0"/>
              <w:jc w:val="center"/>
              <w:rPr>
                <w:rFonts w:ascii="Arial" w:hAnsi="Arial"/>
                <w:sz w:val="20"/>
              </w:rPr>
            </w:pPr>
            <w:r>
              <w:rPr>
                <w:rFonts w:ascii="Arial" w:hAnsi="Arial"/>
                <w:color w:val="000000"/>
                <w:sz w:val="20"/>
              </w:rPr>
              <w:t>A</w:t>
            </w:r>
          </w:p>
        </w:tc>
        <w:tc>
          <w:tcPr>
            <w:tcW w:w="2438" w:type="dxa"/>
            <w:vAlign w:val="center"/>
          </w:tcPr>
          <w:p w14:paraId="243617BD" w14:textId="416B2C16" w:rsidR="007D7920" w:rsidRDefault="007D7920" w:rsidP="007D7920">
            <w:pPr>
              <w:spacing w:after="0"/>
              <w:jc w:val="center"/>
              <w:rPr>
                <w:rFonts w:ascii="Arial" w:hAnsi="Arial"/>
                <w:sz w:val="20"/>
              </w:rPr>
            </w:pPr>
            <w:r>
              <w:rPr>
                <w:rFonts w:ascii="Arial" w:hAnsi="Arial" w:cs="Arial"/>
                <w:color w:val="000000"/>
                <w:sz w:val="20"/>
              </w:rPr>
              <w:t>EEI &lt; 0,30</w:t>
            </w:r>
          </w:p>
        </w:tc>
      </w:tr>
      <w:tr w:rsidR="007D7920" w14:paraId="0AFA7475" w14:textId="77777777" w:rsidTr="00A21B94">
        <w:trPr>
          <w:trHeight w:val="340"/>
        </w:trPr>
        <w:tc>
          <w:tcPr>
            <w:tcW w:w="2409" w:type="dxa"/>
            <w:vAlign w:val="center"/>
          </w:tcPr>
          <w:p w14:paraId="17D17C0F" w14:textId="77777777" w:rsidR="007D7920" w:rsidRDefault="007D7920" w:rsidP="007D7920">
            <w:pPr>
              <w:spacing w:after="0"/>
              <w:jc w:val="center"/>
              <w:rPr>
                <w:rFonts w:ascii="Arial" w:hAnsi="Arial"/>
                <w:sz w:val="20"/>
              </w:rPr>
            </w:pPr>
            <w:r>
              <w:rPr>
                <w:rFonts w:ascii="Arial" w:hAnsi="Arial"/>
                <w:color w:val="000000"/>
                <w:sz w:val="20"/>
              </w:rPr>
              <w:t>B</w:t>
            </w:r>
          </w:p>
        </w:tc>
        <w:tc>
          <w:tcPr>
            <w:tcW w:w="2438" w:type="dxa"/>
            <w:vAlign w:val="center"/>
          </w:tcPr>
          <w:p w14:paraId="5A9115B4" w14:textId="27A528FB" w:rsidR="007D7920" w:rsidRDefault="007D7920" w:rsidP="007D7920">
            <w:pPr>
              <w:spacing w:after="0"/>
              <w:jc w:val="center"/>
              <w:rPr>
                <w:rFonts w:ascii="Arial" w:hAnsi="Arial"/>
                <w:sz w:val="20"/>
              </w:rPr>
            </w:pPr>
            <w:r>
              <w:rPr>
                <w:rFonts w:ascii="Arial" w:hAnsi="Arial" w:cs="Arial"/>
                <w:color w:val="000000"/>
                <w:sz w:val="20"/>
              </w:rPr>
              <w:t>0,30 ≤ EEI &lt; 0,40</w:t>
            </w:r>
          </w:p>
        </w:tc>
      </w:tr>
      <w:tr w:rsidR="007D7920" w14:paraId="5265895C" w14:textId="77777777" w:rsidTr="00A21B94">
        <w:trPr>
          <w:trHeight w:val="340"/>
        </w:trPr>
        <w:tc>
          <w:tcPr>
            <w:tcW w:w="2409" w:type="dxa"/>
            <w:vAlign w:val="center"/>
          </w:tcPr>
          <w:p w14:paraId="45526CB8" w14:textId="77777777" w:rsidR="007D7920" w:rsidRDefault="007D7920" w:rsidP="007D7920">
            <w:pPr>
              <w:spacing w:after="0"/>
              <w:jc w:val="center"/>
              <w:rPr>
                <w:rFonts w:ascii="Arial" w:hAnsi="Arial"/>
                <w:sz w:val="20"/>
              </w:rPr>
            </w:pPr>
            <w:r>
              <w:rPr>
                <w:rFonts w:ascii="Arial" w:hAnsi="Arial"/>
                <w:color w:val="000000"/>
                <w:sz w:val="20"/>
              </w:rPr>
              <w:t>C</w:t>
            </w:r>
          </w:p>
        </w:tc>
        <w:tc>
          <w:tcPr>
            <w:tcW w:w="2438" w:type="dxa"/>
            <w:vAlign w:val="center"/>
          </w:tcPr>
          <w:p w14:paraId="06219BE0" w14:textId="6027A786" w:rsidR="007D7920" w:rsidRDefault="007D7920" w:rsidP="007D7920">
            <w:pPr>
              <w:spacing w:after="0"/>
              <w:jc w:val="center"/>
              <w:rPr>
                <w:rFonts w:ascii="Arial" w:hAnsi="Arial"/>
                <w:sz w:val="20"/>
              </w:rPr>
            </w:pPr>
            <w:r>
              <w:rPr>
                <w:rFonts w:ascii="Arial" w:hAnsi="Arial" w:cs="Arial"/>
                <w:color w:val="000000"/>
                <w:sz w:val="20"/>
              </w:rPr>
              <w:t xml:space="preserve">0,40 </w:t>
            </w:r>
            <w:r>
              <w:rPr>
                <w:rFonts w:ascii="Verdana" w:hAnsi="Verdana" w:cs="Arial"/>
                <w:color w:val="000000"/>
                <w:sz w:val="20"/>
              </w:rPr>
              <w:t>≤</w:t>
            </w:r>
            <w:r>
              <w:rPr>
                <w:rFonts w:ascii="Arial" w:hAnsi="Arial" w:cs="Arial"/>
                <w:color w:val="000000"/>
                <w:sz w:val="20"/>
              </w:rPr>
              <w:t xml:space="preserve"> EEI &lt; 0,50</w:t>
            </w:r>
          </w:p>
        </w:tc>
      </w:tr>
      <w:tr w:rsidR="007D7920" w14:paraId="149D9279" w14:textId="77777777" w:rsidTr="00A21B94">
        <w:trPr>
          <w:trHeight w:val="340"/>
        </w:trPr>
        <w:tc>
          <w:tcPr>
            <w:tcW w:w="2409" w:type="dxa"/>
            <w:vAlign w:val="center"/>
          </w:tcPr>
          <w:p w14:paraId="1C5375FA" w14:textId="77777777" w:rsidR="007D7920" w:rsidRDefault="007D7920" w:rsidP="007D7920">
            <w:pPr>
              <w:spacing w:after="0"/>
              <w:jc w:val="center"/>
              <w:rPr>
                <w:rFonts w:ascii="Arial" w:hAnsi="Arial"/>
                <w:sz w:val="20"/>
              </w:rPr>
            </w:pPr>
            <w:r>
              <w:rPr>
                <w:rFonts w:ascii="Arial" w:hAnsi="Arial"/>
                <w:color w:val="000000"/>
                <w:sz w:val="20"/>
              </w:rPr>
              <w:t>D</w:t>
            </w:r>
          </w:p>
        </w:tc>
        <w:tc>
          <w:tcPr>
            <w:tcW w:w="2438" w:type="dxa"/>
            <w:vAlign w:val="center"/>
          </w:tcPr>
          <w:p w14:paraId="48E1AC58" w14:textId="3ACF32D9" w:rsidR="007D7920" w:rsidRDefault="007D7920" w:rsidP="007D7920">
            <w:pPr>
              <w:spacing w:after="0"/>
              <w:jc w:val="center"/>
              <w:rPr>
                <w:rFonts w:ascii="Arial" w:hAnsi="Arial"/>
                <w:sz w:val="20"/>
              </w:rPr>
            </w:pPr>
            <w:r>
              <w:rPr>
                <w:rFonts w:ascii="Arial" w:hAnsi="Arial" w:cs="Arial"/>
                <w:color w:val="000000"/>
                <w:sz w:val="20"/>
              </w:rPr>
              <w:t xml:space="preserve">0,50 </w:t>
            </w:r>
            <w:r>
              <w:rPr>
                <w:rFonts w:ascii="Verdana" w:hAnsi="Verdana" w:cs="Arial"/>
                <w:color w:val="000000"/>
                <w:sz w:val="20"/>
              </w:rPr>
              <w:t>≤</w:t>
            </w:r>
            <w:r>
              <w:rPr>
                <w:rFonts w:ascii="Arial" w:hAnsi="Arial" w:cs="Arial"/>
                <w:color w:val="000000"/>
                <w:sz w:val="20"/>
              </w:rPr>
              <w:t xml:space="preserve"> EEI &lt; 0,60</w:t>
            </w:r>
          </w:p>
        </w:tc>
      </w:tr>
      <w:tr w:rsidR="007D7920" w14:paraId="78C8830F" w14:textId="77777777" w:rsidTr="00A21B94">
        <w:trPr>
          <w:trHeight w:val="340"/>
        </w:trPr>
        <w:tc>
          <w:tcPr>
            <w:tcW w:w="2409" w:type="dxa"/>
            <w:vAlign w:val="center"/>
          </w:tcPr>
          <w:p w14:paraId="7C08F203" w14:textId="77777777" w:rsidR="007D7920" w:rsidRDefault="007D7920" w:rsidP="007D7920">
            <w:pPr>
              <w:spacing w:after="0"/>
              <w:jc w:val="center"/>
              <w:rPr>
                <w:rFonts w:ascii="Arial" w:hAnsi="Arial"/>
                <w:sz w:val="20"/>
              </w:rPr>
            </w:pPr>
            <w:r>
              <w:rPr>
                <w:rFonts w:ascii="Arial" w:hAnsi="Arial"/>
                <w:color w:val="000000"/>
                <w:sz w:val="20"/>
              </w:rPr>
              <w:t>E</w:t>
            </w:r>
          </w:p>
        </w:tc>
        <w:tc>
          <w:tcPr>
            <w:tcW w:w="2438" w:type="dxa"/>
            <w:vAlign w:val="center"/>
          </w:tcPr>
          <w:p w14:paraId="7E3956EB" w14:textId="27119879" w:rsidR="007D7920" w:rsidRDefault="007D7920" w:rsidP="007D7920">
            <w:pPr>
              <w:spacing w:after="0"/>
              <w:jc w:val="center"/>
              <w:rPr>
                <w:rFonts w:ascii="Arial" w:hAnsi="Arial"/>
                <w:sz w:val="20"/>
              </w:rPr>
            </w:pPr>
            <w:r>
              <w:rPr>
                <w:rFonts w:ascii="Arial" w:hAnsi="Arial" w:cs="Arial"/>
                <w:color w:val="000000"/>
                <w:sz w:val="20"/>
              </w:rPr>
              <w:t xml:space="preserve">0,60 </w:t>
            </w:r>
            <w:r>
              <w:rPr>
                <w:rFonts w:ascii="Verdana" w:hAnsi="Verdana" w:cs="Arial"/>
                <w:color w:val="000000"/>
                <w:sz w:val="20"/>
              </w:rPr>
              <w:t>≤</w:t>
            </w:r>
            <w:r>
              <w:rPr>
                <w:rFonts w:ascii="Arial" w:hAnsi="Arial" w:cs="Arial"/>
                <w:color w:val="000000"/>
                <w:sz w:val="20"/>
              </w:rPr>
              <w:t xml:space="preserve"> EEI &lt; 0,75</w:t>
            </w:r>
          </w:p>
        </w:tc>
      </w:tr>
      <w:tr w:rsidR="007D7920" w14:paraId="5A0D0DBB" w14:textId="77777777" w:rsidTr="00A21B94">
        <w:trPr>
          <w:trHeight w:val="340"/>
        </w:trPr>
        <w:tc>
          <w:tcPr>
            <w:tcW w:w="2409" w:type="dxa"/>
            <w:vAlign w:val="center"/>
          </w:tcPr>
          <w:p w14:paraId="3F58C2DF" w14:textId="77777777" w:rsidR="007D7920" w:rsidRDefault="007D7920" w:rsidP="007D7920">
            <w:pPr>
              <w:spacing w:after="0"/>
              <w:jc w:val="center"/>
              <w:rPr>
                <w:rFonts w:ascii="Arial" w:hAnsi="Arial"/>
                <w:noProof/>
                <w:sz w:val="20"/>
                <w:lang w:val="pt-PT" w:eastAsia="pt-PT"/>
              </w:rPr>
            </w:pPr>
            <w:r>
              <w:rPr>
                <w:rFonts w:ascii="Arial" w:hAnsi="Arial" w:cs="Arial"/>
                <w:color w:val="000000"/>
                <w:sz w:val="20"/>
                <w:lang w:val="pt-PT"/>
              </w:rPr>
              <w:t>F</w:t>
            </w:r>
          </w:p>
        </w:tc>
        <w:tc>
          <w:tcPr>
            <w:tcW w:w="2438" w:type="dxa"/>
            <w:vAlign w:val="center"/>
          </w:tcPr>
          <w:p w14:paraId="4B38B88E" w14:textId="1C0560D8" w:rsidR="007D7920" w:rsidRDefault="007D7920" w:rsidP="007D7920">
            <w:pPr>
              <w:spacing w:after="0"/>
              <w:jc w:val="center"/>
              <w:rPr>
                <w:rFonts w:ascii="Arial" w:hAnsi="Arial"/>
                <w:sz w:val="20"/>
              </w:rPr>
            </w:pPr>
            <w:r>
              <w:rPr>
                <w:rFonts w:ascii="Arial" w:hAnsi="Arial" w:cs="Arial"/>
                <w:color w:val="000000"/>
                <w:sz w:val="20"/>
              </w:rPr>
              <w:t xml:space="preserve">0,75 </w:t>
            </w:r>
            <w:r>
              <w:rPr>
                <w:rFonts w:ascii="Verdana" w:hAnsi="Verdana" w:cs="Arial"/>
                <w:color w:val="000000"/>
                <w:sz w:val="20"/>
              </w:rPr>
              <w:t>≤</w:t>
            </w:r>
            <w:r>
              <w:rPr>
                <w:rFonts w:ascii="Arial" w:hAnsi="Arial" w:cs="Arial"/>
                <w:color w:val="000000"/>
                <w:sz w:val="20"/>
              </w:rPr>
              <w:t xml:space="preserve"> EEI &lt; 0,90</w:t>
            </w:r>
          </w:p>
        </w:tc>
      </w:tr>
      <w:tr w:rsidR="007D7920" w14:paraId="69EB29AD" w14:textId="77777777" w:rsidTr="00A21B94">
        <w:trPr>
          <w:trHeight w:val="340"/>
        </w:trPr>
        <w:tc>
          <w:tcPr>
            <w:tcW w:w="2409" w:type="dxa"/>
            <w:tcBorders>
              <w:bottom w:val="single" w:sz="4" w:space="0" w:color="auto"/>
            </w:tcBorders>
            <w:vAlign w:val="center"/>
          </w:tcPr>
          <w:p w14:paraId="41D49939" w14:textId="77777777" w:rsidR="007D7920" w:rsidRDefault="007D7920" w:rsidP="007D7920">
            <w:pPr>
              <w:spacing w:after="0"/>
              <w:jc w:val="center"/>
              <w:rPr>
                <w:rFonts w:ascii="Arial" w:hAnsi="Arial"/>
                <w:noProof/>
                <w:sz w:val="20"/>
                <w:lang w:val="pt-PT" w:eastAsia="pt-PT"/>
              </w:rPr>
            </w:pPr>
            <w:r>
              <w:rPr>
                <w:rFonts w:ascii="Arial" w:hAnsi="Arial" w:cs="Arial"/>
                <w:color w:val="000000"/>
                <w:sz w:val="20"/>
                <w:lang w:val="pt-PT"/>
              </w:rPr>
              <w:t>G</w:t>
            </w:r>
          </w:p>
        </w:tc>
        <w:tc>
          <w:tcPr>
            <w:tcW w:w="2438" w:type="dxa"/>
            <w:tcBorders>
              <w:bottom w:val="single" w:sz="4" w:space="0" w:color="auto"/>
            </w:tcBorders>
            <w:vAlign w:val="center"/>
          </w:tcPr>
          <w:p w14:paraId="1406F4D4" w14:textId="428DA9D4" w:rsidR="007D7920" w:rsidRDefault="007D7920" w:rsidP="007D7920">
            <w:pPr>
              <w:spacing w:after="0"/>
              <w:jc w:val="center"/>
              <w:rPr>
                <w:rFonts w:ascii="Arial" w:hAnsi="Arial"/>
                <w:noProof/>
                <w:sz w:val="20"/>
                <w:lang w:val="pt-PT" w:eastAsia="pt-PT"/>
              </w:rPr>
            </w:pPr>
            <w:r>
              <w:rPr>
                <w:rFonts w:ascii="Arial" w:hAnsi="Arial" w:cs="Arial"/>
                <w:color w:val="000000"/>
                <w:sz w:val="20"/>
              </w:rPr>
              <w:t xml:space="preserve">0,90 </w:t>
            </w:r>
            <w:r>
              <w:rPr>
                <w:rFonts w:ascii="Verdana" w:hAnsi="Verdana" w:cs="Arial"/>
                <w:color w:val="000000"/>
                <w:sz w:val="20"/>
              </w:rPr>
              <w:t>≤</w:t>
            </w:r>
            <w:r>
              <w:rPr>
                <w:rFonts w:ascii="Arial" w:hAnsi="Arial" w:cs="Arial"/>
                <w:color w:val="000000"/>
                <w:sz w:val="20"/>
              </w:rPr>
              <w:t xml:space="preserve"> EEI</w:t>
            </w:r>
          </w:p>
        </w:tc>
      </w:tr>
    </w:tbl>
    <w:p w14:paraId="688150FB" w14:textId="4D3F6A51" w:rsidR="002D7CB8" w:rsidRDefault="002D7CB8" w:rsidP="00F82D38">
      <w:pPr>
        <w:rPr>
          <w:rFonts w:ascii="Arial" w:hAnsi="Arial" w:cs="Arial"/>
          <w:sz w:val="20"/>
        </w:rPr>
      </w:pPr>
    </w:p>
    <w:p w14:paraId="5E1D67FD" w14:textId="77777777" w:rsidR="002D7CB8" w:rsidRPr="00F82D38" w:rsidRDefault="002D7CB8" w:rsidP="00F82D38">
      <w:pPr>
        <w:rPr>
          <w:rFonts w:ascii="Arial" w:hAnsi="Arial" w:cs="Arial"/>
          <w:sz w:val="20"/>
        </w:rPr>
      </w:pPr>
    </w:p>
    <w:p w14:paraId="2E0BC487" w14:textId="5A43C610" w:rsidR="00F82D38" w:rsidRPr="00F82D38" w:rsidRDefault="00F82D38" w:rsidP="00F82D38">
      <w:pPr>
        <w:rPr>
          <w:rFonts w:ascii="Arial" w:hAnsi="Arial" w:cs="Arial"/>
          <w:sz w:val="20"/>
        </w:rPr>
      </w:pPr>
    </w:p>
    <w:p w14:paraId="72B430EB" w14:textId="77777777" w:rsidR="00F82D38" w:rsidRPr="00F82D38" w:rsidRDefault="00F82D38" w:rsidP="00F82D38">
      <w:pPr>
        <w:rPr>
          <w:rFonts w:ascii="Arial" w:hAnsi="Arial" w:cs="Arial"/>
          <w:sz w:val="20"/>
        </w:rPr>
      </w:pPr>
    </w:p>
    <w:p w14:paraId="06ACD2EA" w14:textId="4C933CEF" w:rsidR="00F82D38" w:rsidRPr="00F82D38" w:rsidRDefault="00F82D38" w:rsidP="00F82D38">
      <w:pPr>
        <w:rPr>
          <w:rFonts w:ascii="Arial" w:hAnsi="Arial" w:cs="Arial"/>
          <w:sz w:val="20"/>
        </w:rPr>
      </w:pPr>
    </w:p>
    <w:p w14:paraId="160D140F" w14:textId="77777777" w:rsidR="00F82D38" w:rsidRPr="00F82D38" w:rsidRDefault="00F82D38" w:rsidP="00F82D38">
      <w:pPr>
        <w:rPr>
          <w:rFonts w:ascii="Arial" w:hAnsi="Arial" w:cs="Arial"/>
          <w:sz w:val="20"/>
        </w:rPr>
      </w:pPr>
    </w:p>
    <w:p w14:paraId="0A5F619C" w14:textId="4C4388E0" w:rsidR="00F82D38" w:rsidRPr="00F82D38" w:rsidRDefault="00F82D38" w:rsidP="00F82D38">
      <w:pPr>
        <w:rPr>
          <w:rFonts w:ascii="Arial" w:hAnsi="Arial" w:cs="Arial"/>
          <w:sz w:val="20"/>
        </w:rPr>
      </w:pPr>
    </w:p>
    <w:p w14:paraId="436BF088" w14:textId="7214038C" w:rsidR="00F82D38" w:rsidRPr="00F82D38" w:rsidRDefault="00F82D38" w:rsidP="00F82D38">
      <w:pPr>
        <w:rPr>
          <w:rFonts w:ascii="Arial" w:hAnsi="Arial" w:cs="Arial"/>
          <w:sz w:val="20"/>
        </w:rPr>
      </w:pPr>
    </w:p>
    <w:p w14:paraId="1777E36E" w14:textId="112F9715" w:rsidR="00F82D38" w:rsidRDefault="00F82D38" w:rsidP="00F82D38">
      <w:pPr>
        <w:rPr>
          <w:rFonts w:ascii="Arial" w:hAnsi="Arial" w:cs="Arial"/>
          <w:sz w:val="20"/>
        </w:rPr>
      </w:pPr>
    </w:p>
    <w:p w14:paraId="69C3A8A3" w14:textId="64F50FF1" w:rsidR="00531B04" w:rsidRDefault="00531B04" w:rsidP="00F82D38">
      <w:pPr>
        <w:rPr>
          <w:rFonts w:ascii="Arial" w:hAnsi="Arial" w:cs="Arial"/>
          <w:sz w:val="20"/>
        </w:rPr>
      </w:pPr>
    </w:p>
    <w:p w14:paraId="7B51D68E" w14:textId="62351EB7" w:rsidR="00A52D52" w:rsidRDefault="00A52D52" w:rsidP="00F82D38">
      <w:pPr>
        <w:rPr>
          <w:rFonts w:ascii="Arial" w:hAnsi="Arial" w:cs="Arial"/>
          <w:sz w:val="20"/>
        </w:rPr>
      </w:pPr>
    </w:p>
    <w:p w14:paraId="769E5A29" w14:textId="4F2B09CC" w:rsidR="00A52D52" w:rsidRDefault="00A52D52" w:rsidP="00F82D38">
      <w:pPr>
        <w:rPr>
          <w:rFonts w:ascii="Arial" w:hAnsi="Arial" w:cs="Arial"/>
          <w:sz w:val="20"/>
        </w:rPr>
      </w:pPr>
    </w:p>
    <w:p w14:paraId="4123AB8E" w14:textId="77777777" w:rsidR="00A52D52" w:rsidRDefault="00A52D52" w:rsidP="00F82D38">
      <w:pPr>
        <w:rPr>
          <w:rFonts w:ascii="Arial" w:hAnsi="Arial" w:cs="Arial"/>
          <w:sz w:val="20"/>
        </w:rPr>
      </w:pPr>
    </w:p>
    <w:p w14:paraId="59507E49" w14:textId="42AACA1D" w:rsidR="00531B04" w:rsidRPr="00531B04" w:rsidRDefault="00531B04" w:rsidP="00F82D38">
      <w:pPr>
        <w:rPr>
          <w:rFonts w:ascii="Arial" w:hAnsi="Arial" w:cs="Arial"/>
          <w:b/>
          <w:bCs/>
          <w:sz w:val="20"/>
        </w:rPr>
      </w:pPr>
      <w:r w:rsidRPr="00531B04">
        <w:rPr>
          <w:rFonts w:ascii="Arial" w:hAnsi="Arial" w:cs="Arial"/>
          <w:b/>
          <w:bCs/>
          <w:sz w:val="20"/>
        </w:rPr>
        <w:t>Energy Efficiency Index during On-Mode</w:t>
      </w:r>
    </w:p>
    <w:p w14:paraId="6A2AAA38" w14:textId="794A9031" w:rsidR="00521E6B" w:rsidRDefault="00772A8C" w:rsidP="00F82D38">
      <w:pPr>
        <w:rPr>
          <w:rFonts w:ascii="Arial" w:hAnsi="Arial" w:cs="Arial"/>
          <w:sz w:val="20"/>
        </w:rPr>
      </w:pPr>
      <w:r>
        <w:rPr>
          <w:rFonts w:ascii="Arial" w:hAnsi="Arial" w:cs="Arial"/>
          <w:sz w:val="20"/>
        </w:rPr>
        <w:t xml:space="preserve">EU Regulation No 2019/2021 states the maximum EEI limits that apply when the TV set is turned on. </w:t>
      </w:r>
      <w:r w:rsidR="004C04AA">
        <w:rPr>
          <w:rFonts w:ascii="Arial" w:hAnsi="Arial" w:cs="Arial"/>
          <w:sz w:val="20"/>
        </w:rPr>
        <w:t>The</w:t>
      </w:r>
      <w:r w:rsidR="00521E6B">
        <w:rPr>
          <w:rFonts w:ascii="Arial" w:hAnsi="Arial" w:cs="Arial"/>
          <w:sz w:val="20"/>
        </w:rPr>
        <w:t xml:space="preserve"> EEI</w:t>
      </w:r>
      <w:r w:rsidR="00521E6B" w:rsidRPr="004C04AA">
        <w:rPr>
          <w:rFonts w:ascii="Arial" w:hAnsi="Arial" w:cs="Arial"/>
          <w:sz w:val="20"/>
          <w:vertAlign w:val="subscript"/>
        </w:rPr>
        <w:t>max</w:t>
      </w:r>
      <w:r w:rsidR="00521E6B">
        <w:rPr>
          <w:rFonts w:ascii="Arial" w:hAnsi="Arial" w:cs="Arial"/>
          <w:sz w:val="20"/>
        </w:rPr>
        <w:t xml:space="preserve"> </w:t>
      </w:r>
      <w:r w:rsidR="004C04AA">
        <w:rPr>
          <w:rFonts w:ascii="Arial" w:hAnsi="Arial" w:cs="Arial"/>
          <w:sz w:val="20"/>
        </w:rPr>
        <w:t xml:space="preserve">is greater with </w:t>
      </w:r>
      <w:r w:rsidR="00521E6B">
        <w:rPr>
          <w:rFonts w:ascii="Arial" w:hAnsi="Arial" w:cs="Arial"/>
          <w:sz w:val="20"/>
        </w:rPr>
        <w:t>higher screen resolution.</w:t>
      </w:r>
    </w:p>
    <w:p w14:paraId="5075CEAA" w14:textId="383CAB6F" w:rsidR="00EE1E44" w:rsidRDefault="00970EB6" w:rsidP="00F82D38">
      <w:pPr>
        <w:rPr>
          <w:rFonts w:ascii="Arial" w:hAnsi="Arial" w:cs="Arial"/>
          <w:sz w:val="20"/>
        </w:rPr>
      </w:pPr>
      <w:r>
        <w:rPr>
          <w:rFonts w:ascii="Arial" w:hAnsi="Arial" w:cs="Arial"/>
          <w:sz w:val="20"/>
        </w:rPr>
        <w:t>These</w:t>
      </w:r>
      <w:r w:rsidR="006D3569">
        <w:rPr>
          <w:rFonts w:ascii="Arial" w:hAnsi="Arial" w:cs="Arial"/>
          <w:sz w:val="20"/>
        </w:rPr>
        <w:t xml:space="preserve"> limits will be</w:t>
      </w:r>
      <w:r w:rsidR="00614010">
        <w:rPr>
          <w:rFonts w:ascii="Arial" w:hAnsi="Arial" w:cs="Arial"/>
          <w:sz w:val="20"/>
        </w:rPr>
        <w:t>come</w:t>
      </w:r>
      <w:r w:rsidR="00B0182F">
        <w:rPr>
          <w:rFonts w:ascii="Arial" w:hAnsi="Arial" w:cs="Arial"/>
          <w:sz w:val="20"/>
        </w:rPr>
        <w:t xml:space="preserve"> </w:t>
      </w:r>
      <w:r w:rsidR="006D3569">
        <w:rPr>
          <w:rFonts w:ascii="Arial" w:hAnsi="Arial" w:cs="Arial"/>
          <w:sz w:val="20"/>
        </w:rPr>
        <w:t>more restrictive as of 202</w:t>
      </w:r>
      <w:r>
        <w:rPr>
          <w:rFonts w:ascii="Arial" w:hAnsi="Arial" w:cs="Arial"/>
          <w:sz w:val="20"/>
        </w:rPr>
        <w:t>3. I</w:t>
      </w:r>
      <w:r w:rsidR="006D3569">
        <w:rPr>
          <w:rFonts w:ascii="Arial" w:hAnsi="Arial" w:cs="Arial"/>
          <w:sz w:val="20"/>
        </w:rPr>
        <w:t xml:space="preserve">t is recommendable to invest into energy efficient devices </w:t>
      </w:r>
      <w:r w:rsidR="00197A0F">
        <w:rPr>
          <w:rFonts w:ascii="Arial" w:hAnsi="Arial" w:cs="Arial"/>
          <w:sz w:val="20"/>
        </w:rPr>
        <w:t>that already no</w:t>
      </w:r>
      <w:r w:rsidR="00276C0A">
        <w:rPr>
          <w:rFonts w:ascii="Arial" w:hAnsi="Arial" w:cs="Arial"/>
          <w:sz w:val="20"/>
        </w:rPr>
        <w:t>w meet these standards.</w:t>
      </w:r>
      <w:r w:rsidR="00A52D52">
        <w:rPr>
          <w:rFonts w:ascii="Arial" w:hAnsi="Arial" w:cs="Arial"/>
          <w:sz w:val="20"/>
        </w:rPr>
        <w:br/>
      </w:r>
    </w:p>
    <w:p w14:paraId="28F1BE6E" w14:textId="26979FA2" w:rsidR="00B8577A" w:rsidRDefault="00B8577A" w:rsidP="00B8577A">
      <w:pPr>
        <w:pStyle w:val="Caption"/>
        <w:keepNext/>
        <w:jc w:val="center"/>
      </w:pPr>
      <w:r>
        <w:t xml:space="preserve">Table </w:t>
      </w:r>
      <w:r>
        <w:fldChar w:fldCharType="begin"/>
      </w:r>
      <w:r>
        <w:instrText xml:space="preserve"> SEQ Table \* ARABIC </w:instrText>
      </w:r>
      <w:r>
        <w:fldChar w:fldCharType="separate"/>
      </w:r>
      <w:r w:rsidR="00B27400">
        <w:rPr>
          <w:noProof/>
        </w:rPr>
        <w:t>2</w:t>
      </w:r>
      <w:r>
        <w:fldChar w:fldCharType="end"/>
      </w:r>
      <w:r>
        <w:t>: EEI limits for on-mode</w:t>
      </w:r>
    </w:p>
    <w:tbl>
      <w:tblPr>
        <w:tblW w:w="0" w:type="auto"/>
        <w:tblCellMar>
          <w:left w:w="70" w:type="dxa"/>
          <w:right w:w="70" w:type="dxa"/>
        </w:tblCellMar>
        <w:tblLook w:val="04A0" w:firstRow="1" w:lastRow="0" w:firstColumn="1" w:lastColumn="0" w:noHBand="0" w:noVBand="1"/>
      </w:tblPr>
      <w:tblGrid>
        <w:gridCol w:w="1668"/>
        <w:gridCol w:w="2401"/>
        <w:gridCol w:w="2402"/>
        <w:gridCol w:w="2402"/>
      </w:tblGrid>
      <w:tr w:rsidR="00FF5AF4" w:rsidRPr="00FF5AF4" w14:paraId="5D8792F6" w14:textId="77777777" w:rsidTr="00EE1E44">
        <w:trPr>
          <w:trHeight w:val="770"/>
        </w:trPr>
        <w:tc>
          <w:tcPr>
            <w:tcW w:w="0" w:type="auto"/>
            <w:tcBorders>
              <w:top w:val="single" w:sz="4" w:space="0" w:color="auto"/>
              <w:left w:val="nil"/>
              <w:bottom w:val="single" w:sz="4" w:space="0" w:color="auto"/>
              <w:right w:val="single" w:sz="4" w:space="0" w:color="auto"/>
            </w:tcBorders>
            <w:shd w:val="clear" w:color="auto" w:fill="auto"/>
            <w:vAlign w:val="center"/>
            <w:hideMark/>
          </w:tcPr>
          <w:p w14:paraId="19363BBE" w14:textId="77777777" w:rsidR="00FF5AF4" w:rsidRPr="00D54B54" w:rsidRDefault="00FF5AF4" w:rsidP="00FF5AF4">
            <w:pPr>
              <w:spacing w:after="0"/>
              <w:rPr>
                <w:rFonts w:ascii="Calibri" w:hAnsi="Calibri" w:cs="Calibri"/>
                <w:color w:val="000000"/>
                <w:sz w:val="22"/>
                <w:szCs w:val="22"/>
                <w:lang w:val="en-US" w:eastAsia="de-DE"/>
              </w:rPr>
            </w:pPr>
            <w:r w:rsidRPr="00D54B54">
              <w:rPr>
                <w:rFonts w:ascii="Calibri" w:hAnsi="Calibri" w:cs="Calibri"/>
                <w:color w:val="000000"/>
                <w:sz w:val="22"/>
                <w:szCs w:val="22"/>
                <w:lang w:val="en-US" w:eastAsia="de-DE"/>
              </w:rPr>
              <w:t> </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509EA098" w14:textId="4CC6D338" w:rsidR="00FF5AF4" w:rsidRPr="00FF5AF4" w:rsidRDefault="00FF5AF4" w:rsidP="00FF5AF4">
            <w:pPr>
              <w:spacing w:after="0"/>
              <w:jc w:val="center"/>
              <w:rPr>
                <w:rFonts w:ascii="Calibri" w:hAnsi="Calibri" w:cs="Calibri"/>
                <w:color w:val="000000"/>
                <w:sz w:val="22"/>
                <w:szCs w:val="22"/>
                <w:lang w:val="en-US" w:eastAsia="de-DE"/>
              </w:rPr>
            </w:pPr>
            <w:r w:rsidRPr="00FF5AF4">
              <w:rPr>
                <w:rFonts w:ascii="Calibri" w:hAnsi="Calibri" w:cs="Calibri"/>
                <w:color w:val="000000"/>
                <w:sz w:val="22"/>
                <w:szCs w:val="22"/>
                <w:lang w:val="en-US" w:eastAsia="de-DE"/>
              </w:rPr>
              <w:t>EEI</w:t>
            </w:r>
            <w:r w:rsidRPr="00FF5AF4">
              <w:rPr>
                <w:rFonts w:ascii="Calibri" w:hAnsi="Calibri" w:cs="Calibri"/>
                <w:color w:val="000000"/>
                <w:sz w:val="22"/>
                <w:szCs w:val="22"/>
                <w:vertAlign w:val="subscript"/>
                <w:lang w:val="en-US" w:eastAsia="de-DE"/>
              </w:rPr>
              <w:t xml:space="preserve">max </w:t>
            </w:r>
            <w:r w:rsidRPr="00FF5AF4">
              <w:rPr>
                <w:rFonts w:ascii="Calibri" w:hAnsi="Calibri" w:cs="Calibri"/>
                <w:color w:val="000000"/>
                <w:sz w:val="22"/>
                <w:szCs w:val="22"/>
                <w:lang w:val="en-US" w:eastAsia="de-DE"/>
              </w:rPr>
              <w:t>for HD</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14:paraId="7083C660" w14:textId="76B5E7CC" w:rsidR="00FF5AF4" w:rsidRPr="00FF5AF4" w:rsidRDefault="00FF5AF4" w:rsidP="00FF5AF4">
            <w:pPr>
              <w:spacing w:after="0"/>
              <w:jc w:val="center"/>
              <w:rPr>
                <w:rFonts w:ascii="Calibri" w:hAnsi="Calibri" w:cs="Calibri"/>
                <w:color w:val="000000"/>
                <w:sz w:val="22"/>
                <w:szCs w:val="22"/>
                <w:lang w:val="en-US" w:eastAsia="de-DE"/>
              </w:rPr>
            </w:pPr>
            <w:r w:rsidRPr="00FF5AF4">
              <w:rPr>
                <w:rFonts w:ascii="Calibri" w:hAnsi="Calibri" w:cs="Calibri"/>
                <w:color w:val="000000"/>
                <w:sz w:val="22"/>
                <w:szCs w:val="22"/>
                <w:lang w:val="en-US" w:eastAsia="de-DE"/>
              </w:rPr>
              <w:t>EEI</w:t>
            </w:r>
            <w:r w:rsidRPr="00FF5AF4">
              <w:rPr>
                <w:rFonts w:ascii="Calibri" w:hAnsi="Calibri" w:cs="Calibri"/>
                <w:color w:val="000000"/>
                <w:sz w:val="22"/>
                <w:szCs w:val="22"/>
                <w:vertAlign w:val="subscript"/>
                <w:lang w:val="en-US" w:eastAsia="de-DE"/>
              </w:rPr>
              <w:t xml:space="preserve">max </w:t>
            </w:r>
            <w:r w:rsidR="00D54B54">
              <w:rPr>
                <w:rFonts w:ascii="Calibri" w:hAnsi="Calibri" w:cs="Calibri"/>
                <w:color w:val="000000"/>
                <w:sz w:val="22"/>
                <w:szCs w:val="22"/>
                <w:lang w:val="en-US" w:eastAsia="de-DE"/>
              </w:rPr>
              <w:t>for U</w:t>
            </w:r>
            <w:r w:rsidRPr="00FF5AF4">
              <w:rPr>
                <w:rFonts w:ascii="Calibri" w:hAnsi="Calibri" w:cs="Calibri"/>
                <w:color w:val="000000"/>
                <w:sz w:val="22"/>
                <w:szCs w:val="22"/>
                <w:lang w:val="en-US" w:eastAsia="de-DE"/>
              </w:rPr>
              <w:t>HD-4K</w:t>
            </w:r>
          </w:p>
        </w:tc>
        <w:tc>
          <w:tcPr>
            <w:tcW w:w="2402" w:type="dxa"/>
            <w:tcBorders>
              <w:top w:val="single" w:sz="4" w:space="0" w:color="auto"/>
              <w:left w:val="nil"/>
              <w:bottom w:val="single" w:sz="4" w:space="0" w:color="auto"/>
              <w:right w:val="nil"/>
            </w:tcBorders>
            <w:shd w:val="clear" w:color="auto" w:fill="auto"/>
            <w:vAlign w:val="center"/>
            <w:hideMark/>
          </w:tcPr>
          <w:p w14:paraId="0A5E44F1" w14:textId="77777777" w:rsidR="00FF5AF4" w:rsidRPr="00FF5AF4" w:rsidRDefault="00FF5AF4" w:rsidP="00FF5AF4">
            <w:pPr>
              <w:spacing w:after="0"/>
              <w:jc w:val="center"/>
              <w:rPr>
                <w:rFonts w:ascii="Calibri" w:hAnsi="Calibri" w:cs="Calibri"/>
                <w:color w:val="000000"/>
                <w:sz w:val="22"/>
                <w:szCs w:val="22"/>
                <w:lang w:val="en-US" w:eastAsia="de-DE"/>
              </w:rPr>
            </w:pPr>
            <w:r w:rsidRPr="00FF5AF4">
              <w:rPr>
                <w:rFonts w:ascii="Calibri" w:hAnsi="Calibri" w:cs="Calibri"/>
                <w:color w:val="000000"/>
                <w:sz w:val="22"/>
                <w:szCs w:val="22"/>
                <w:lang w:val="en-US" w:eastAsia="de-DE"/>
              </w:rPr>
              <w:t>EEI</w:t>
            </w:r>
            <w:r w:rsidRPr="00FF5AF4">
              <w:rPr>
                <w:rFonts w:ascii="Calibri" w:hAnsi="Calibri" w:cs="Calibri"/>
                <w:color w:val="000000"/>
                <w:sz w:val="22"/>
                <w:szCs w:val="22"/>
                <w:vertAlign w:val="subscript"/>
                <w:lang w:val="en-US" w:eastAsia="de-DE"/>
              </w:rPr>
              <w:t xml:space="preserve">max </w:t>
            </w:r>
            <w:r w:rsidRPr="00FF5AF4">
              <w:rPr>
                <w:rFonts w:ascii="Calibri" w:hAnsi="Calibri" w:cs="Calibri"/>
                <w:color w:val="000000"/>
                <w:sz w:val="22"/>
                <w:szCs w:val="22"/>
                <w:lang w:val="en-US" w:eastAsia="de-DE"/>
              </w:rPr>
              <w:t xml:space="preserve">for displays above </w:t>
            </w:r>
            <w:r w:rsidRPr="00FF5AF4">
              <w:rPr>
                <w:rFonts w:ascii="Calibri" w:hAnsi="Calibri" w:cs="Calibri"/>
                <w:color w:val="000000"/>
                <w:sz w:val="22"/>
                <w:szCs w:val="22"/>
                <w:lang w:val="en-US" w:eastAsia="de-DE"/>
              </w:rPr>
              <w:br/>
              <w:t>UHD-4K resolution</w:t>
            </w:r>
          </w:p>
        </w:tc>
      </w:tr>
      <w:tr w:rsidR="00FF5AF4" w:rsidRPr="00FF5AF4" w14:paraId="4591DD15" w14:textId="77777777" w:rsidTr="00EE1E44">
        <w:trPr>
          <w:trHeight w:val="290"/>
        </w:trPr>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1DD729" w14:textId="6B9D250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1. Mar</w:t>
            </w:r>
            <w:r w:rsidR="0004792E">
              <w:rPr>
                <w:rFonts w:ascii="Calibri" w:hAnsi="Calibri" w:cs="Calibri"/>
                <w:color w:val="000000"/>
                <w:sz w:val="22"/>
                <w:szCs w:val="22"/>
                <w:lang w:val="de-DE" w:eastAsia="de-DE"/>
              </w:rPr>
              <w:t>ch</w:t>
            </w:r>
            <w:r w:rsidRPr="00FF5AF4">
              <w:rPr>
                <w:rFonts w:ascii="Calibri" w:hAnsi="Calibri" w:cs="Calibri"/>
                <w:color w:val="000000"/>
                <w:sz w:val="22"/>
                <w:szCs w:val="22"/>
                <w:lang w:val="de-DE" w:eastAsia="de-DE"/>
              </w:rPr>
              <w:t xml:space="preserve"> 2021</w:t>
            </w:r>
          </w:p>
        </w:tc>
        <w:tc>
          <w:tcPr>
            <w:tcW w:w="2401" w:type="dxa"/>
            <w:tcBorders>
              <w:top w:val="single" w:sz="4" w:space="0" w:color="auto"/>
              <w:left w:val="nil"/>
              <w:bottom w:val="single" w:sz="4" w:space="0" w:color="auto"/>
              <w:right w:val="single" w:sz="4" w:space="0" w:color="auto"/>
            </w:tcBorders>
            <w:shd w:val="clear" w:color="auto" w:fill="auto"/>
            <w:noWrap/>
            <w:vAlign w:val="bottom"/>
            <w:hideMark/>
          </w:tcPr>
          <w:p w14:paraId="54D41A08" w14:textId="7777777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0.90</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67F79273" w14:textId="7777777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1.10</w:t>
            </w:r>
          </w:p>
        </w:tc>
        <w:tc>
          <w:tcPr>
            <w:tcW w:w="2402" w:type="dxa"/>
            <w:tcBorders>
              <w:top w:val="single" w:sz="4" w:space="0" w:color="auto"/>
              <w:left w:val="nil"/>
              <w:bottom w:val="single" w:sz="4" w:space="0" w:color="auto"/>
              <w:right w:val="nil"/>
            </w:tcBorders>
            <w:shd w:val="clear" w:color="auto" w:fill="auto"/>
            <w:noWrap/>
            <w:vAlign w:val="bottom"/>
            <w:hideMark/>
          </w:tcPr>
          <w:p w14:paraId="1FBA350C" w14:textId="7777777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n.a.</w:t>
            </w:r>
          </w:p>
        </w:tc>
      </w:tr>
      <w:tr w:rsidR="00FF5AF4" w:rsidRPr="00FF5AF4" w14:paraId="54F52AD9" w14:textId="77777777" w:rsidTr="00FF5AF4">
        <w:trPr>
          <w:trHeight w:val="290"/>
        </w:trPr>
        <w:tc>
          <w:tcPr>
            <w:tcW w:w="0" w:type="auto"/>
            <w:tcBorders>
              <w:top w:val="nil"/>
              <w:left w:val="nil"/>
              <w:bottom w:val="single" w:sz="4" w:space="0" w:color="auto"/>
              <w:right w:val="single" w:sz="4" w:space="0" w:color="auto"/>
            </w:tcBorders>
            <w:shd w:val="clear" w:color="auto" w:fill="auto"/>
            <w:noWrap/>
            <w:vAlign w:val="bottom"/>
            <w:hideMark/>
          </w:tcPr>
          <w:p w14:paraId="07DB52A9" w14:textId="1F15310E"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1. Mar</w:t>
            </w:r>
            <w:r w:rsidR="0004792E">
              <w:rPr>
                <w:rFonts w:ascii="Calibri" w:hAnsi="Calibri" w:cs="Calibri"/>
                <w:color w:val="000000"/>
                <w:sz w:val="22"/>
                <w:szCs w:val="22"/>
                <w:lang w:val="de-DE" w:eastAsia="de-DE"/>
              </w:rPr>
              <w:t>ch</w:t>
            </w:r>
            <w:r w:rsidRPr="00FF5AF4">
              <w:rPr>
                <w:rFonts w:ascii="Calibri" w:hAnsi="Calibri" w:cs="Calibri"/>
                <w:color w:val="000000"/>
                <w:sz w:val="22"/>
                <w:szCs w:val="22"/>
                <w:lang w:val="de-DE" w:eastAsia="de-DE"/>
              </w:rPr>
              <w:t xml:space="preserve"> 2023</w:t>
            </w:r>
          </w:p>
        </w:tc>
        <w:tc>
          <w:tcPr>
            <w:tcW w:w="2401" w:type="dxa"/>
            <w:tcBorders>
              <w:top w:val="nil"/>
              <w:left w:val="nil"/>
              <w:bottom w:val="single" w:sz="4" w:space="0" w:color="auto"/>
              <w:right w:val="single" w:sz="4" w:space="0" w:color="auto"/>
            </w:tcBorders>
            <w:shd w:val="clear" w:color="auto" w:fill="auto"/>
            <w:noWrap/>
            <w:vAlign w:val="bottom"/>
            <w:hideMark/>
          </w:tcPr>
          <w:p w14:paraId="03FEE3AE" w14:textId="7777777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0.75</w:t>
            </w:r>
          </w:p>
        </w:tc>
        <w:tc>
          <w:tcPr>
            <w:tcW w:w="2402" w:type="dxa"/>
            <w:tcBorders>
              <w:top w:val="nil"/>
              <w:left w:val="nil"/>
              <w:bottom w:val="single" w:sz="4" w:space="0" w:color="auto"/>
              <w:right w:val="single" w:sz="4" w:space="0" w:color="auto"/>
            </w:tcBorders>
            <w:shd w:val="clear" w:color="auto" w:fill="auto"/>
            <w:noWrap/>
            <w:vAlign w:val="bottom"/>
            <w:hideMark/>
          </w:tcPr>
          <w:p w14:paraId="64714C39" w14:textId="7777777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0.90</w:t>
            </w:r>
          </w:p>
        </w:tc>
        <w:tc>
          <w:tcPr>
            <w:tcW w:w="2402" w:type="dxa"/>
            <w:tcBorders>
              <w:top w:val="nil"/>
              <w:left w:val="nil"/>
              <w:bottom w:val="single" w:sz="4" w:space="0" w:color="auto"/>
              <w:right w:val="nil"/>
            </w:tcBorders>
            <w:shd w:val="clear" w:color="auto" w:fill="auto"/>
            <w:noWrap/>
            <w:vAlign w:val="bottom"/>
            <w:hideMark/>
          </w:tcPr>
          <w:p w14:paraId="69860185" w14:textId="77777777" w:rsidR="00FF5AF4" w:rsidRPr="00FF5AF4" w:rsidRDefault="00FF5AF4" w:rsidP="00FF5AF4">
            <w:pPr>
              <w:spacing w:after="0"/>
              <w:jc w:val="center"/>
              <w:rPr>
                <w:rFonts w:ascii="Calibri" w:hAnsi="Calibri" w:cs="Calibri"/>
                <w:color w:val="000000"/>
                <w:sz w:val="22"/>
                <w:szCs w:val="22"/>
                <w:lang w:val="de-DE" w:eastAsia="de-DE"/>
              </w:rPr>
            </w:pPr>
            <w:r w:rsidRPr="00FF5AF4">
              <w:rPr>
                <w:rFonts w:ascii="Calibri" w:hAnsi="Calibri" w:cs="Calibri"/>
                <w:color w:val="000000"/>
                <w:sz w:val="22"/>
                <w:szCs w:val="22"/>
                <w:lang w:val="de-DE" w:eastAsia="de-DE"/>
              </w:rPr>
              <w:t>0.90</w:t>
            </w:r>
          </w:p>
        </w:tc>
      </w:tr>
      <w:tr w:rsidR="00FF5AF4" w:rsidRPr="00FF5AF4" w14:paraId="732497FF" w14:textId="77777777" w:rsidTr="00FF5AF4">
        <w:trPr>
          <w:trHeight w:val="290"/>
        </w:trPr>
        <w:tc>
          <w:tcPr>
            <w:tcW w:w="0" w:type="auto"/>
            <w:tcBorders>
              <w:top w:val="nil"/>
              <w:left w:val="nil"/>
              <w:bottom w:val="nil"/>
              <w:right w:val="nil"/>
            </w:tcBorders>
            <w:shd w:val="clear" w:color="auto" w:fill="auto"/>
            <w:noWrap/>
            <w:vAlign w:val="bottom"/>
            <w:hideMark/>
          </w:tcPr>
          <w:p w14:paraId="5C79B75F" w14:textId="77777777" w:rsidR="00FF5AF4" w:rsidRPr="00D41720" w:rsidRDefault="00FF5AF4" w:rsidP="00FF5AF4">
            <w:pPr>
              <w:spacing w:after="0"/>
              <w:jc w:val="center"/>
              <w:rPr>
                <w:rFonts w:ascii="Calibri" w:hAnsi="Calibri" w:cs="Calibri"/>
                <w:color w:val="000000"/>
                <w:sz w:val="16"/>
                <w:szCs w:val="16"/>
                <w:lang w:val="de-DE" w:eastAsia="de-DE"/>
              </w:rPr>
            </w:pPr>
          </w:p>
        </w:tc>
        <w:tc>
          <w:tcPr>
            <w:tcW w:w="2401" w:type="dxa"/>
            <w:tcBorders>
              <w:top w:val="nil"/>
              <w:left w:val="nil"/>
              <w:bottom w:val="nil"/>
              <w:right w:val="nil"/>
            </w:tcBorders>
            <w:shd w:val="clear" w:color="auto" w:fill="auto"/>
            <w:noWrap/>
            <w:vAlign w:val="bottom"/>
            <w:hideMark/>
          </w:tcPr>
          <w:p w14:paraId="447CB0F8" w14:textId="77777777" w:rsidR="00FF5AF4" w:rsidRPr="00D41720" w:rsidRDefault="00FF5AF4" w:rsidP="00FF5AF4">
            <w:pPr>
              <w:spacing w:after="0"/>
              <w:rPr>
                <w:sz w:val="16"/>
                <w:szCs w:val="16"/>
                <w:lang w:val="de-DE" w:eastAsia="de-DE"/>
              </w:rPr>
            </w:pPr>
          </w:p>
        </w:tc>
        <w:tc>
          <w:tcPr>
            <w:tcW w:w="2402" w:type="dxa"/>
            <w:tcBorders>
              <w:top w:val="nil"/>
              <w:left w:val="nil"/>
              <w:bottom w:val="nil"/>
              <w:right w:val="nil"/>
            </w:tcBorders>
            <w:shd w:val="clear" w:color="auto" w:fill="auto"/>
            <w:noWrap/>
            <w:vAlign w:val="bottom"/>
            <w:hideMark/>
          </w:tcPr>
          <w:p w14:paraId="7E9E04CA" w14:textId="77777777" w:rsidR="00FF5AF4" w:rsidRPr="00D41720" w:rsidRDefault="00FF5AF4" w:rsidP="00FF5AF4">
            <w:pPr>
              <w:spacing w:after="0"/>
              <w:rPr>
                <w:sz w:val="16"/>
                <w:szCs w:val="16"/>
                <w:lang w:val="de-DE" w:eastAsia="de-DE"/>
              </w:rPr>
            </w:pPr>
          </w:p>
        </w:tc>
        <w:tc>
          <w:tcPr>
            <w:tcW w:w="2402" w:type="dxa"/>
            <w:tcBorders>
              <w:top w:val="nil"/>
              <w:left w:val="nil"/>
              <w:bottom w:val="nil"/>
              <w:right w:val="nil"/>
            </w:tcBorders>
            <w:shd w:val="clear" w:color="auto" w:fill="auto"/>
            <w:noWrap/>
            <w:vAlign w:val="bottom"/>
            <w:hideMark/>
          </w:tcPr>
          <w:p w14:paraId="0F2AAC67" w14:textId="77777777" w:rsidR="00FF5AF4" w:rsidRPr="00D41720" w:rsidRDefault="00FF5AF4" w:rsidP="00FF5AF4">
            <w:pPr>
              <w:spacing w:after="0"/>
              <w:rPr>
                <w:sz w:val="16"/>
                <w:szCs w:val="16"/>
                <w:lang w:val="de-DE" w:eastAsia="de-DE"/>
              </w:rPr>
            </w:pPr>
          </w:p>
        </w:tc>
      </w:tr>
      <w:tr w:rsidR="00FF5AF4" w:rsidRPr="00FF5AF4" w14:paraId="0171D007" w14:textId="77777777" w:rsidTr="00FF5AF4">
        <w:trPr>
          <w:trHeight w:val="290"/>
        </w:trPr>
        <w:tc>
          <w:tcPr>
            <w:tcW w:w="0" w:type="auto"/>
            <w:tcBorders>
              <w:top w:val="nil"/>
              <w:left w:val="nil"/>
              <w:bottom w:val="nil"/>
              <w:right w:val="nil"/>
            </w:tcBorders>
            <w:shd w:val="clear" w:color="auto" w:fill="auto"/>
            <w:noWrap/>
            <w:vAlign w:val="bottom"/>
            <w:hideMark/>
          </w:tcPr>
          <w:p w14:paraId="5DE814C2" w14:textId="77777777" w:rsidR="00FF5AF4" w:rsidRPr="00982017" w:rsidRDefault="00FF5AF4" w:rsidP="00FF5AF4">
            <w:pPr>
              <w:spacing w:after="0"/>
              <w:rPr>
                <w:rFonts w:ascii="Calibri" w:hAnsi="Calibri" w:cs="Calibri"/>
                <w:i/>
                <w:iCs/>
                <w:color w:val="000000" w:themeColor="text1"/>
                <w:sz w:val="20"/>
                <w:lang w:val="de-DE" w:eastAsia="de-DE"/>
              </w:rPr>
            </w:pPr>
            <w:r w:rsidRPr="00982017">
              <w:rPr>
                <w:rFonts w:ascii="Calibri" w:hAnsi="Calibri" w:cs="Calibri"/>
                <w:i/>
                <w:iCs/>
                <w:color w:val="000000" w:themeColor="text1"/>
                <w:sz w:val="20"/>
                <w:lang w:val="de-DE" w:eastAsia="de-DE"/>
              </w:rPr>
              <w:t>HD = 2,138,400 pxl</w:t>
            </w:r>
          </w:p>
        </w:tc>
        <w:tc>
          <w:tcPr>
            <w:tcW w:w="2401" w:type="dxa"/>
            <w:tcBorders>
              <w:top w:val="nil"/>
              <w:left w:val="nil"/>
              <w:bottom w:val="nil"/>
              <w:right w:val="nil"/>
            </w:tcBorders>
            <w:shd w:val="clear" w:color="auto" w:fill="auto"/>
            <w:noWrap/>
            <w:vAlign w:val="bottom"/>
            <w:hideMark/>
          </w:tcPr>
          <w:p w14:paraId="2B7151E3" w14:textId="77777777" w:rsidR="00FF5AF4" w:rsidRPr="00982017" w:rsidRDefault="00FF5AF4" w:rsidP="00FF5AF4">
            <w:pPr>
              <w:spacing w:after="0"/>
              <w:rPr>
                <w:rFonts w:ascii="Calibri" w:hAnsi="Calibri" w:cs="Calibri"/>
                <w:i/>
                <w:iCs/>
                <w:color w:val="000000" w:themeColor="text1"/>
                <w:sz w:val="20"/>
                <w:lang w:val="de-DE" w:eastAsia="de-DE"/>
              </w:rPr>
            </w:pPr>
            <w:r w:rsidRPr="00982017">
              <w:rPr>
                <w:rFonts w:ascii="Calibri" w:hAnsi="Calibri" w:cs="Calibri"/>
                <w:i/>
                <w:iCs/>
                <w:color w:val="000000" w:themeColor="text1"/>
                <w:sz w:val="20"/>
                <w:lang w:val="de-DE" w:eastAsia="de-DE"/>
              </w:rPr>
              <w:t>UHD-4K = 8,294,400 pxl</w:t>
            </w:r>
          </w:p>
        </w:tc>
        <w:tc>
          <w:tcPr>
            <w:tcW w:w="2402" w:type="dxa"/>
            <w:tcBorders>
              <w:top w:val="nil"/>
              <w:left w:val="nil"/>
              <w:bottom w:val="nil"/>
              <w:right w:val="nil"/>
            </w:tcBorders>
            <w:shd w:val="clear" w:color="auto" w:fill="auto"/>
            <w:noWrap/>
            <w:vAlign w:val="bottom"/>
            <w:hideMark/>
          </w:tcPr>
          <w:p w14:paraId="355F2B29" w14:textId="77777777" w:rsidR="00FF5AF4" w:rsidRPr="00982017" w:rsidRDefault="00FF5AF4" w:rsidP="00FF5AF4">
            <w:pPr>
              <w:spacing w:after="0"/>
              <w:rPr>
                <w:rFonts w:ascii="Calibri" w:hAnsi="Calibri" w:cs="Calibri"/>
                <w:i/>
                <w:iCs/>
                <w:color w:val="000000" w:themeColor="text1"/>
                <w:sz w:val="20"/>
                <w:lang w:val="de-DE" w:eastAsia="de-DE"/>
              </w:rPr>
            </w:pPr>
          </w:p>
        </w:tc>
        <w:tc>
          <w:tcPr>
            <w:tcW w:w="2402" w:type="dxa"/>
            <w:tcBorders>
              <w:top w:val="nil"/>
              <w:left w:val="nil"/>
              <w:bottom w:val="nil"/>
              <w:right w:val="nil"/>
            </w:tcBorders>
            <w:shd w:val="clear" w:color="auto" w:fill="auto"/>
            <w:noWrap/>
            <w:vAlign w:val="bottom"/>
            <w:hideMark/>
          </w:tcPr>
          <w:p w14:paraId="1F07987E" w14:textId="77777777" w:rsidR="00FF5AF4" w:rsidRPr="00FF5AF4" w:rsidRDefault="00FF5AF4" w:rsidP="00FF5AF4">
            <w:pPr>
              <w:spacing w:after="0"/>
              <w:rPr>
                <w:sz w:val="20"/>
                <w:lang w:val="de-DE" w:eastAsia="de-DE"/>
              </w:rPr>
            </w:pPr>
          </w:p>
        </w:tc>
      </w:tr>
    </w:tbl>
    <w:p w14:paraId="78A0BCE0" w14:textId="7FEE5589" w:rsidR="00A52D52" w:rsidRDefault="00A52D52" w:rsidP="00F82D38">
      <w:pPr>
        <w:rPr>
          <w:rFonts w:ascii="Arial" w:hAnsi="Arial" w:cs="Arial"/>
          <w:sz w:val="20"/>
        </w:rPr>
      </w:pPr>
    </w:p>
    <w:p w14:paraId="7C647F14" w14:textId="0A81C25F" w:rsidR="006D3569" w:rsidRDefault="006D3569" w:rsidP="00F82D38">
      <w:pPr>
        <w:rPr>
          <w:rFonts w:ascii="Arial" w:hAnsi="Arial" w:cs="Arial"/>
          <w:sz w:val="20"/>
        </w:rPr>
      </w:pPr>
    </w:p>
    <w:p w14:paraId="4EAF8EB7" w14:textId="3A2E1C9D" w:rsidR="00A52D52" w:rsidRDefault="00A52D52" w:rsidP="00A52D52">
      <w:pPr>
        <w:rPr>
          <w:rFonts w:ascii="Arial" w:hAnsi="Arial" w:cs="Arial"/>
          <w:sz w:val="20"/>
        </w:rPr>
      </w:pPr>
    </w:p>
    <w:p w14:paraId="3FE522DC" w14:textId="0D22FC6C" w:rsidR="00A52D52" w:rsidRDefault="00A52D52">
      <w:pPr>
        <w:spacing w:after="0"/>
        <w:rPr>
          <w:rFonts w:ascii="Arial" w:hAnsi="Arial" w:cs="Arial"/>
          <w:sz w:val="20"/>
        </w:rPr>
      </w:pPr>
      <w:r>
        <w:rPr>
          <w:rFonts w:ascii="Arial" w:hAnsi="Arial" w:cs="Arial"/>
          <w:sz w:val="20"/>
        </w:rPr>
        <w:br w:type="page"/>
      </w:r>
    </w:p>
    <w:p w14:paraId="2CA40EC0" w14:textId="77777777" w:rsidR="00E86CBB" w:rsidRDefault="00E86CBB" w:rsidP="00A52D52">
      <w:pPr>
        <w:rPr>
          <w:rFonts w:ascii="Arial" w:hAnsi="Arial" w:cs="Arial"/>
          <w:sz w:val="20"/>
        </w:rPr>
      </w:pPr>
    </w:p>
    <w:p w14:paraId="3A19068A" w14:textId="1DFC100C"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E86CBB">
        <w:rPr>
          <w:rFonts w:ascii="Arial" w:hAnsi="Arial" w:cs="Arial"/>
          <w:sz w:val="20"/>
        </w:rPr>
        <w:t>TV sets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7C54A69B" w:rsidR="006230A3" w:rsidRPr="0084624B" w:rsidRDefault="006230A3" w:rsidP="00FA3054">
      <w:pPr>
        <w:pStyle w:val="Caption"/>
        <w:keepNext/>
        <w:jc w:val="center"/>
      </w:pPr>
      <w:r w:rsidRPr="0084624B">
        <w:t xml:space="preserve">Table </w:t>
      </w:r>
      <w:r w:rsidR="00B8577A" w:rsidRPr="0084624B">
        <w:fldChar w:fldCharType="begin"/>
      </w:r>
      <w:r w:rsidR="00B8577A" w:rsidRPr="0084624B">
        <w:instrText xml:space="preserve"> SEQ Table \* ARABIC </w:instrText>
      </w:r>
      <w:r w:rsidR="00B8577A" w:rsidRPr="0084624B">
        <w:fldChar w:fldCharType="separate"/>
      </w:r>
      <w:r w:rsidR="00B27400">
        <w:rPr>
          <w:noProof/>
        </w:rPr>
        <w:t>3</w:t>
      </w:r>
      <w:r w:rsidR="00B8577A" w:rsidRPr="0084624B">
        <w:fldChar w:fldCharType="end"/>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04969218" w:rsidR="005413AE" w:rsidRPr="00B67515" w:rsidRDefault="00583B50" w:rsidP="00DD6ED4">
            <w:pPr>
              <w:spacing w:after="0" w:line="280" w:lineRule="exact"/>
              <w:rPr>
                <w:rFonts w:ascii="Arial" w:hAnsi="Arial" w:cs="Arial"/>
                <w:sz w:val="20"/>
              </w:rPr>
            </w:pPr>
            <w:r w:rsidRPr="00583B50">
              <w:rPr>
                <w:rFonts w:ascii="Arial" w:hAnsi="Arial" w:cs="Arial"/>
                <w:sz w:val="20"/>
              </w:rPr>
              <w:t>On mode power (W) x nº daily hours in use x nº annual working days x 10 years x nº units</w:t>
            </w:r>
          </w:p>
        </w:tc>
        <w:tc>
          <w:tcPr>
            <w:tcW w:w="2665" w:type="dxa"/>
            <w:vAlign w:val="center"/>
          </w:tcPr>
          <w:p w14:paraId="5B995353" w14:textId="4454B4AF"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313D98B7" w14:textId="28C8CDFE"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r w:rsidR="00583B50">
        <w:rPr>
          <w:rFonts w:ascii="Arial" w:hAnsi="Arial" w:cs="Arial"/>
          <w:sz w:val="16"/>
          <w:szCs w:val="16"/>
          <w:lang w:val="en-US"/>
        </w:rPr>
        <w:t xml:space="preserve"> </w:t>
      </w:r>
      <w:r w:rsidR="00583B50" w:rsidRPr="00825133">
        <w:rPr>
          <w:rFonts w:ascii="Arial" w:hAnsi="Arial" w:cs="Arial"/>
          <w:sz w:val="16"/>
          <w:szCs w:val="16"/>
          <w:lang w:val="en-US"/>
        </w:rPr>
        <w:t xml:space="preserve">The variables for the costs calculation during the product life time can be stated by the procurer (according to the </w:t>
      </w:r>
      <w:r w:rsidR="00583B50">
        <w:rPr>
          <w:rFonts w:ascii="Arial" w:hAnsi="Arial" w:cs="Arial"/>
          <w:sz w:val="16"/>
          <w:szCs w:val="16"/>
          <w:lang w:val="en-US"/>
        </w:rPr>
        <w:t xml:space="preserve">equipment </w:t>
      </w:r>
      <w:r w:rsidR="00583B50" w:rsidRPr="00825133">
        <w:rPr>
          <w:rFonts w:ascii="Arial" w:hAnsi="Arial" w:cs="Arial"/>
          <w:sz w:val="16"/>
          <w:szCs w:val="16"/>
          <w:lang w:val="en-US"/>
        </w:rPr>
        <w:t xml:space="preserve">replacement rate, </w:t>
      </w:r>
      <w:r w:rsidR="00583B50">
        <w:rPr>
          <w:rFonts w:ascii="Arial" w:hAnsi="Arial" w:cs="Arial"/>
          <w:sz w:val="16"/>
          <w:szCs w:val="16"/>
          <w:lang w:val="en-US"/>
        </w:rPr>
        <w:t>its</w:t>
      </w:r>
      <w:r w:rsidR="00583B50" w:rsidRPr="00825133">
        <w:rPr>
          <w:rFonts w:ascii="Arial" w:hAnsi="Arial" w:cs="Arial"/>
          <w:sz w:val="16"/>
          <w:szCs w:val="16"/>
          <w:lang w:val="en-US"/>
        </w:rPr>
        <w:t xml:space="preserve"> daily </w:t>
      </w:r>
      <w:r w:rsidR="00583B50">
        <w:rPr>
          <w:rFonts w:ascii="Arial" w:hAnsi="Arial" w:cs="Arial"/>
          <w:sz w:val="16"/>
          <w:szCs w:val="16"/>
          <w:lang w:val="en-US"/>
        </w:rPr>
        <w:t xml:space="preserve">and annual </w:t>
      </w:r>
      <w:r w:rsidR="00583B50" w:rsidRPr="00825133">
        <w:rPr>
          <w:rFonts w:ascii="Arial" w:hAnsi="Arial" w:cs="Arial"/>
          <w:sz w:val="16"/>
          <w:szCs w:val="16"/>
          <w:lang w:val="en-US"/>
        </w:rPr>
        <w:t>use, etc.).</w:t>
      </w:r>
    </w:p>
    <w:p w14:paraId="23187F99" w14:textId="66D76D72" w:rsidR="001F2B86"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0C7F" w14:textId="77777777" w:rsidR="00EC1479" w:rsidRDefault="00EC1479">
      <w:pPr>
        <w:spacing w:after="0"/>
      </w:pPr>
      <w:r>
        <w:separator/>
      </w:r>
    </w:p>
  </w:endnote>
  <w:endnote w:type="continuationSeparator" w:id="0">
    <w:p w14:paraId="7250BB0F" w14:textId="77777777" w:rsidR="00EC1479" w:rsidRDefault="00EC1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Palatino"/>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1826" w14:textId="77777777" w:rsidR="00EC1479" w:rsidRDefault="00EC1479">
      <w:pPr>
        <w:spacing w:after="0"/>
      </w:pPr>
      <w:r>
        <w:separator/>
      </w:r>
    </w:p>
  </w:footnote>
  <w:footnote w:type="continuationSeparator" w:id="0">
    <w:p w14:paraId="0A7EA891" w14:textId="77777777" w:rsidR="00EC1479" w:rsidRDefault="00EC14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EC1479">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10"/>
  </w:num>
  <w:num w:numId="3">
    <w:abstractNumId w:val="10"/>
  </w:num>
  <w:num w:numId="4">
    <w:abstractNumId w:val="10"/>
  </w:num>
  <w:num w:numId="5">
    <w:abstractNumId w:val="1"/>
  </w:num>
  <w:num w:numId="6">
    <w:abstractNumId w:val="12"/>
  </w:num>
  <w:num w:numId="7">
    <w:abstractNumId w:val="3"/>
  </w:num>
  <w:num w:numId="8">
    <w:abstractNumId w:val="0"/>
  </w:num>
  <w:num w:numId="9">
    <w:abstractNumId w:val="11"/>
  </w:num>
  <w:num w:numId="10">
    <w:abstractNumId w:val="2"/>
  </w:num>
  <w:num w:numId="11">
    <w:abstractNumId w:val="7"/>
  </w:num>
  <w:num w:numId="12">
    <w:abstractNumId w:val="6"/>
  </w:num>
  <w:num w:numId="13">
    <w:abstractNumId w:val="9"/>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5E10"/>
    <w:rsid w:val="00006FE6"/>
    <w:rsid w:val="00011045"/>
    <w:rsid w:val="00012008"/>
    <w:rsid w:val="00012955"/>
    <w:rsid w:val="0002493F"/>
    <w:rsid w:val="000278BB"/>
    <w:rsid w:val="00034A0B"/>
    <w:rsid w:val="00034F6C"/>
    <w:rsid w:val="00041587"/>
    <w:rsid w:val="00045D50"/>
    <w:rsid w:val="00046431"/>
    <w:rsid w:val="0004792E"/>
    <w:rsid w:val="00047E04"/>
    <w:rsid w:val="0005209D"/>
    <w:rsid w:val="000525D3"/>
    <w:rsid w:val="00070C1A"/>
    <w:rsid w:val="000722B1"/>
    <w:rsid w:val="000758FE"/>
    <w:rsid w:val="00081935"/>
    <w:rsid w:val="00081BC8"/>
    <w:rsid w:val="00095750"/>
    <w:rsid w:val="000A4B81"/>
    <w:rsid w:val="000C3138"/>
    <w:rsid w:val="000C48B5"/>
    <w:rsid w:val="000D0036"/>
    <w:rsid w:val="000D55F5"/>
    <w:rsid w:val="000E3428"/>
    <w:rsid w:val="000E3772"/>
    <w:rsid w:val="000E5407"/>
    <w:rsid w:val="000E551F"/>
    <w:rsid w:val="000E5A36"/>
    <w:rsid w:val="000F5F2E"/>
    <w:rsid w:val="000F6E5E"/>
    <w:rsid w:val="00100AD4"/>
    <w:rsid w:val="00103C24"/>
    <w:rsid w:val="0011618D"/>
    <w:rsid w:val="00117B94"/>
    <w:rsid w:val="00122FBD"/>
    <w:rsid w:val="0013640E"/>
    <w:rsid w:val="00137D29"/>
    <w:rsid w:val="00145F02"/>
    <w:rsid w:val="00150661"/>
    <w:rsid w:val="0015113E"/>
    <w:rsid w:val="00151959"/>
    <w:rsid w:val="0015485B"/>
    <w:rsid w:val="00154D6C"/>
    <w:rsid w:val="00160F9B"/>
    <w:rsid w:val="00170030"/>
    <w:rsid w:val="00170359"/>
    <w:rsid w:val="00173AA2"/>
    <w:rsid w:val="001778A0"/>
    <w:rsid w:val="00181EAE"/>
    <w:rsid w:val="001925CF"/>
    <w:rsid w:val="00194D9E"/>
    <w:rsid w:val="00197A0F"/>
    <w:rsid w:val="001A2416"/>
    <w:rsid w:val="001A3459"/>
    <w:rsid w:val="001A4A2E"/>
    <w:rsid w:val="001B7410"/>
    <w:rsid w:val="001C707A"/>
    <w:rsid w:val="001D1304"/>
    <w:rsid w:val="001E688B"/>
    <w:rsid w:val="001F2831"/>
    <w:rsid w:val="001F2B86"/>
    <w:rsid w:val="001F3789"/>
    <w:rsid w:val="001F5DFE"/>
    <w:rsid w:val="00201227"/>
    <w:rsid w:val="00201D53"/>
    <w:rsid w:val="0020253B"/>
    <w:rsid w:val="0020470A"/>
    <w:rsid w:val="0020481E"/>
    <w:rsid w:val="002076E6"/>
    <w:rsid w:val="002078FF"/>
    <w:rsid w:val="00210518"/>
    <w:rsid w:val="0021205B"/>
    <w:rsid w:val="0021557D"/>
    <w:rsid w:val="00215F34"/>
    <w:rsid w:val="00223E3E"/>
    <w:rsid w:val="00232C87"/>
    <w:rsid w:val="00233F5D"/>
    <w:rsid w:val="00237A37"/>
    <w:rsid w:val="002419CF"/>
    <w:rsid w:val="00244AEF"/>
    <w:rsid w:val="002461E0"/>
    <w:rsid w:val="002533CD"/>
    <w:rsid w:val="00255ED4"/>
    <w:rsid w:val="002571A2"/>
    <w:rsid w:val="00267108"/>
    <w:rsid w:val="00270BFA"/>
    <w:rsid w:val="00273A4A"/>
    <w:rsid w:val="00275510"/>
    <w:rsid w:val="002767E4"/>
    <w:rsid w:val="00276C0A"/>
    <w:rsid w:val="0028025C"/>
    <w:rsid w:val="00287D52"/>
    <w:rsid w:val="00296A05"/>
    <w:rsid w:val="002A7DA0"/>
    <w:rsid w:val="002B0D8E"/>
    <w:rsid w:val="002B115E"/>
    <w:rsid w:val="002C1B06"/>
    <w:rsid w:val="002C341E"/>
    <w:rsid w:val="002C5499"/>
    <w:rsid w:val="002D4D72"/>
    <w:rsid w:val="002D4F6A"/>
    <w:rsid w:val="002D7CB8"/>
    <w:rsid w:val="002F1365"/>
    <w:rsid w:val="00300F6C"/>
    <w:rsid w:val="00303312"/>
    <w:rsid w:val="003042AC"/>
    <w:rsid w:val="003107EA"/>
    <w:rsid w:val="0031741E"/>
    <w:rsid w:val="00320B43"/>
    <w:rsid w:val="00333F61"/>
    <w:rsid w:val="00334171"/>
    <w:rsid w:val="003379B2"/>
    <w:rsid w:val="0034080D"/>
    <w:rsid w:val="00346C72"/>
    <w:rsid w:val="003515CE"/>
    <w:rsid w:val="00351E6E"/>
    <w:rsid w:val="00356A75"/>
    <w:rsid w:val="00363E71"/>
    <w:rsid w:val="0036447E"/>
    <w:rsid w:val="003655EC"/>
    <w:rsid w:val="00370568"/>
    <w:rsid w:val="00372D0A"/>
    <w:rsid w:val="00373D1D"/>
    <w:rsid w:val="00377045"/>
    <w:rsid w:val="0037762B"/>
    <w:rsid w:val="00381E01"/>
    <w:rsid w:val="00381E56"/>
    <w:rsid w:val="003833CF"/>
    <w:rsid w:val="0038382C"/>
    <w:rsid w:val="0038718D"/>
    <w:rsid w:val="003974D4"/>
    <w:rsid w:val="00397CA1"/>
    <w:rsid w:val="003A5677"/>
    <w:rsid w:val="003A60ED"/>
    <w:rsid w:val="003A7991"/>
    <w:rsid w:val="003B4A54"/>
    <w:rsid w:val="003B7042"/>
    <w:rsid w:val="003D6D66"/>
    <w:rsid w:val="003E6E97"/>
    <w:rsid w:val="003E769A"/>
    <w:rsid w:val="003F142C"/>
    <w:rsid w:val="003F1A68"/>
    <w:rsid w:val="003F6730"/>
    <w:rsid w:val="00402C19"/>
    <w:rsid w:val="00406E33"/>
    <w:rsid w:val="0041654B"/>
    <w:rsid w:val="00422EEC"/>
    <w:rsid w:val="00430056"/>
    <w:rsid w:val="00433CD5"/>
    <w:rsid w:val="004362B6"/>
    <w:rsid w:val="00436772"/>
    <w:rsid w:val="00437453"/>
    <w:rsid w:val="00437B5C"/>
    <w:rsid w:val="00442F8B"/>
    <w:rsid w:val="004434D8"/>
    <w:rsid w:val="0045031B"/>
    <w:rsid w:val="0045048A"/>
    <w:rsid w:val="00462B70"/>
    <w:rsid w:val="00463778"/>
    <w:rsid w:val="00464A67"/>
    <w:rsid w:val="00477685"/>
    <w:rsid w:val="00485EB2"/>
    <w:rsid w:val="004919E7"/>
    <w:rsid w:val="004A114E"/>
    <w:rsid w:val="004A3C1E"/>
    <w:rsid w:val="004A71E3"/>
    <w:rsid w:val="004B2938"/>
    <w:rsid w:val="004B2A23"/>
    <w:rsid w:val="004B490C"/>
    <w:rsid w:val="004C04AA"/>
    <w:rsid w:val="004D16D4"/>
    <w:rsid w:val="004D16FC"/>
    <w:rsid w:val="004D2318"/>
    <w:rsid w:val="004D2DA1"/>
    <w:rsid w:val="004D2DFC"/>
    <w:rsid w:val="004E23D0"/>
    <w:rsid w:val="004E3460"/>
    <w:rsid w:val="004E5468"/>
    <w:rsid w:val="004E766C"/>
    <w:rsid w:val="004F1663"/>
    <w:rsid w:val="004F2665"/>
    <w:rsid w:val="00502885"/>
    <w:rsid w:val="00504117"/>
    <w:rsid w:val="00506868"/>
    <w:rsid w:val="00507612"/>
    <w:rsid w:val="00514613"/>
    <w:rsid w:val="00514626"/>
    <w:rsid w:val="005206FD"/>
    <w:rsid w:val="00521E6B"/>
    <w:rsid w:val="00525472"/>
    <w:rsid w:val="0053192B"/>
    <w:rsid w:val="00531B04"/>
    <w:rsid w:val="00533416"/>
    <w:rsid w:val="00535FBF"/>
    <w:rsid w:val="0053672B"/>
    <w:rsid w:val="005413AE"/>
    <w:rsid w:val="00541E68"/>
    <w:rsid w:val="00544871"/>
    <w:rsid w:val="00544A57"/>
    <w:rsid w:val="005473B9"/>
    <w:rsid w:val="00552864"/>
    <w:rsid w:val="00552B89"/>
    <w:rsid w:val="0055335C"/>
    <w:rsid w:val="005539CB"/>
    <w:rsid w:val="00553DCB"/>
    <w:rsid w:val="005552AA"/>
    <w:rsid w:val="00555A5F"/>
    <w:rsid w:val="00555A9E"/>
    <w:rsid w:val="00556F43"/>
    <w:rsid w:val="00564882"/>
    <w:rsid w:val="00566E91"/>
    <w:rsid w:val="00567065"/>
    <w:rsid w:val="00575E0D"/>
    <w:rsid w:val="00583B50"/>
    <w:rsid w:val="00584399"/>
    <w:rsid w:val="005867EF"/>
    <w:rsid w:val="005944B8"/>
    <w:rsid w:val="0059645F"/>
    <w:rsid w:val="005A5E0C"/>
    <w:rsid w:val="005B0C7D"/>
    <w:rsid w:val="005B3240"/>
    <w:rsid w:val="005C19C7"/>
    <w:rsid w:val="005C411B"/>
    <w:rsid w:val="005C5621"/>
    <w:rsid w:val="005D0929"/>
    <w:rsid w:val="005D2D5C"/>
    <w:rsid w:val="0060008E"/>
    <w:rsid w:val="006020A0"/>
    <w:rsid w:val="00605D16"/>
    <w:rsid w:val="00605EB8"/>
    <w:rsid w:val="00607CC4"/>
    <w:rsid w:val="0061023C"/>
    <w:rsid w:val="00614010"/>
    <w:rsid w:val="006230A3"/>
    <w:rsid w:val="006253D9"/>
    <w:rsid w:val="0063169F"/>
    <w:rsid w:val="006337F6"/>
    <w:rsid w:val="00640B40"/>
    <w:rsid w:val="00641B57"/>
    <w:rsid w:val="006429B4"/>
    <w:rsid w:val="00644693"/>
    <w:rsid w:val="00646B71"/>
    <w:rsid w:val="006512AC"/>
    <w:rsid w:val="006532C6"/>
    <w:rsid w:val="0066123C"/>
    <w:rsid w:val="00667357"/>
    <w:rsid w:val="00673EB3"/>
    <w:rsid w:val="0067543E"/>
    <w:rsid w:val="006767F3"/>
    <w:rsid w:val="0067768D"/>
    <w:rsid w:val="00682404"/>
    <w:rsid w:val="0068378A"/>
    <w:rsid w:val="0068440C"/>
    <w:rsid w:val="006A283F"/>
    <w:rsid w:val="006A75AB"/>
    <w:rsid w:val="006B77EF"/>
    <w:rsid w:val="006B787A"/>
    <w:rsid w:val="006C066C"/>
    <w:rsid w:val="006C0A24"/>
    <w:rsid w:val="006C102A"/>
    <w:rsid w:val="006C5FC9"/>
    <w:rsid w:val="006C715F"/>
    <w:rsid w:val="006C7C69"/>
    <w:rsid w:val="006D2CDB"/>
    <w:rsid w:val="006D3569"/>
    <w:rsid w:val="006D4EBE"/>
    <w:rsid w:val="006D7495"/>
    <w:rsid w:val="006E37B6"/>
    <w:rsid w:val="006E70B8"/>
    <w:rsid w:val="006F412B"/>
    <w:rsid w:val="006F72BF"/>
    <w:rsid w:val="00710461"/>
    <w:rsid w:val="00711CCC"/>
    <w:rsid w:val="00711E54"/>
    <w:rsid w:val="0071352B"/>
    <w:rsid w:val="00716384"/>
    <w:rsid w:val="00717A5F"/>
    <w:rsid w:val="00720E1D"/>
    <w:rsid w:val="007240DF"/>
    <w:rsid w:val="00725ED7"/>
    <w:rsid w:val="00726FB2"/>
    <w:rsid w:val="007328B8"/>
    <w:rsid w:val="00741AAC"/>
    <w:rsid w:val="007459DB"/>
    <w:rsid w:val="0074654B"/>
    <w:rsid w:val="00746EF1"/>
    <w:rsid w:val="00750174"/>
    <w:rsid w:val="00750C2D"/>
    <w:rsid w:val="00752616"/>
    <w:rsid w:val="00764F94"/>
    <w:rsid w:val="0076610A"/>
    <w:rsid w:val="007711DE"/>
    <w:rsid w:val="0077158F"/>
    <w:rsid w:val="0077203D"/>
    <w:rsid w:val="00772A8C"/>
    <w:rsid w:val="00775972"/>
    <w:rsid w:val="00775FFC"/>
    <w:rsid w:val="007806F8"/>
    <w:rsid w:val="00781242"/>
    <w:rsid w:val="0078736A"/>
    <w:rsid w:val="00787F36"/>
    <w:rsid w:val="00791461"/>
    <w:rsid w:val="0079485E"/>
    <w:rsid w:val="0079734D"/>
    <w:rsid w:val="007A2519"/>
    <w:rsid w:val="007A2EE1"/>
    <w:rsid w:val="007A385A"/>
    <w:rsid w:val="007A3B9A"/>
    <w:rsid w:val="007B2196"/>
    <w:rsid w:val="007B3559"/>
    <w:rsid w:val="007B45AF"/>
    <w:rsid w:val="007B5A1B"/>
    <w:rsid w:val="007C0B3C"/>
    <w:rsid w:val="007D6A7F"/>
    <w:rsid w:val="007D774C"/>
    <w:rsid w:val="007D7920"/>
    <w:rsid w:val="007E053E"/>
    <w:rsid w:val="007E698D"/>
    <w:rsid w:val="007F5FC6"/>
    <w:rsid w:val="0080461F"/>
    <w:rsid w:val="00807CBE"/>
    <w:rsid w:val="00811EF3"/>
    <w:rsid w:val="008130B6"/>
    <w:rsid w:val="00821FA9"/>
    <w:rsid w:val="008250F5"/>
    <w:rsid w:val="00825133"/>
    <w:rsid w:val="00825932"/>
    <w:rsid w:val="00826F88"/>
    <w:rsid w:val="00830010"/>
    <w:rsid w:val="00833122"/>
    <w:rsid w:val="00837DB9"/>
    <w:rsid w:val="0084624B"/>
    <w:rsid w:val="0085166A"/>
    <w:rsid w:val="008556F4"/>
    <w:rsid w:val="008564AB"/>
    <w:rsid w:val="008564C1"/>
    <w:rsid w:val="0085699F"/>
    <w:rsid w:val="00856E16"/>
    <w:rsid w:val="00864E57"/>
    <w:rsid w:val="00865D58"/>
    <w:rsid w:val="008716EF"/>
    <w:rsid w:val="008765D5"/>
    <w:rsid w:val="00877A12"/>
    <w:rsid w:val="00884407"/>
    <w:rsid w:val="00885896"/>
    <w:rsid w:val="00887574"/>
    <w:rsid w:val="0088791D"/>
    <w:rsid w:val="008907A0"/>
    <w:rsid w:val="0089431B"/>
    <w:rsid w:val="008950BC"/>
    <w:rsid w:val="008A3316"/>
    <w:rsid w:val="008A3897"/>
    <w:rsid w:val="008A3D1F"/>
    <w:rsid w:val="008A4F3F"/>
    <w:rsid w:val="008A631C"/>
    <w:rsid w:val="008B4EFA"/>
    <w:rsid w:val="008B6EBF"/>
    <w:rsid w:val="008C3AE2"/>
    <w:rsid w:val="008C5D3A"/>
    <w:rsid w:val="008C6BEB"/>
    <w:rsid w:val="008C772A"/>
    <w:rsid w:val="008D003B"/>
    <w:rsid w:val="008D22F5"/>
    <w:rsid w:val="008D29FB"/>
    <w:rsid w:val="008D4CF0"/>
    <w:rsid w:val="008D5F3A"/>
    <w:rsid w:val="008D6FC4"/>
    <w:rsid w:val="008E40D2"/>
    <w:rsid w:val="008F269A"/>
    <w:rsid w:val="008F3496"/>
    <w:rsid w:val="008F50E5"/>
    <w:rsid w:val="008F6172"/>
    <w:rsid w:val="008F796D"/>
    <w:rsid w:val="008F7D30"/>
    <w:rsid w:val="009052AB"/>
    <w:rsid w:val="00917921"/>
    <w:rsid w:val="00930473"/>
    <w:rsid w:val="00932867"/>
    <w:rsid w:val="00935822"/>
    <w:rsid w:val="009379E7"/>
    <w:rsid w:val="00940DCE"/>
    <w:rsid w:val="00941233"/>
    <w:rsid w:val="009429A9"/>
    <w:rsid w:val="00946D21"/>
    <w:rsid w:val="00947507"/>
    <w:rsid w:val="00951EEA"/>
    <w:rsid w:val="00952A01"/>
    <w:rsid w:val="009534D2"/>
    <w:rsid w:val="00955AB4"/>
    <w:rsid w:val="00962A65"/>
    <w:rsid w:val="00970EB6"/>
    <w:rsid w:val="009719EF"/>
    <w:rsid w:val="009817C0"/>
    <w:rsid w:val="00981EC7"/>
    <w:rsid w:val="00982017"/>
    <w:rsid w:val="00983032"/>
    <w:rsid w:val="00983623"/>
    <w:rsid w:val="009837DE"/>
    <w:rsid w:val="00996DF5"/>
    <w:rsid w:val="009A40D0"/>
    <w:rsid w:val="009B524A"/>
    <w:rsid w:val="009B6A3F"/>
    <w:rsid w:val="009C2B07"/>
    <w:rsid w:val="009C44D3"/>
    <w:rsid w:val="009C7F6E"/>
    <w:rsid w:val="009D2167"/>
    <w:rsid w:val="009D26F2"/>
    <w:rsid w:val="009D44A2"/>
    <w:rsid w:val="009D751B"/>
    <w:rsid w:val="009D7B53"/>
    <w:rsid w:val="009F4C5B"/>
    <w:rsid w:val="009F60C3"/>
    <w:rsid w:val="00A0096F"/>
    <w:rsid w:val="00A06254"/>
    <w:rsid w:val="00A0682A"/>
    <w:rsid w:val="00A07D1C"/>
    <w:rsid w:val="00A1773E"/>
    <w:rsid w:val="00A21B94"/>
    <w:rsid w:val="00A23D45"/>
    <w:rsid w:val="00A314B3"/>
    <w:rsid w:val="00A3178C"/>
    <w:rsid w:val="00A41699"/>
    <w:rsid w:val="00A43C35"/>
    <w:rsid w:val="00A44166"/>
    <w:rsid w:val="00A44889"/>
    <w:rsid w:val="00A5072F"/>
    <w:rsid w:val="00A52D52"/>
    <w:rsid w:val="00A56487"/>
    <w:rsid w:val="00A56CB7"/>
    <w:rsid w:val="00A6500A"/>
    <w:rsid w:val="00A705AD"/>
    <w:rsid w:val="00A74E17"/>
    <w:rsid w:val="00A76943"/>
    <w:rsid w:val="00A915BB"/>
    <w:rsid w:val="00A933A1"/>
    <w:rsid w:val="00A93938"/>
    <w:rsid w:val="00A96448"/>
    <w:rsid w:val="00AA0746"/>
    <w:rsid w:val="00AA22F1"/>
    <w:rsid w:val="00AA64D3"/>
    <w:rsid w:val="00AB3E29"/>
    <w:rsid w:val="00AB4DD9"/>
    <w:rsid w:val="00AB5512"/>
    <w:rsid w:val="00AB70F3"/>
    <w:rsid w:val="00AC157C"/>
    <w:rsid w:val="00AC1FB1"/>
    <w:rsid w:val="00AC2931"/>
    <w:rsid w:val="00AC2D92"/>
    <w:rsid w:val="00AD0104"/>
    <w:rsid w:val="00AD71CF"/>
    <w:rsid w:val="00AE3D77"/>
    <w:rsid w:val="00AF0B85"/>
    <w:rsid w:val="00AF502F"/>
    <w:rsid w:val="00B016FC"/>
    <w:rsid w:val="00B0182F"/>
    <w:rsid w:val="00B05E26"/>
    <w:rsid w:val="00B14EF5"/>
    <w:rsid w:val="00B154F6"/>
    <w:rsid w:val="00B161A3"/>
    <w:rsid w:val="00B2357A"/>
    <w:rsid w:val="00B27400"/>
    <w:rsid w:val="00B41CD3"/>
    <w:rsid w:val="00B46D30"/>
    <w:rsid w:val="00B46F0D"/>
    <w:rsid w:val="00B46FD9"/>
    <w:rsid w:val="00B47691"/>
    <w:rsid w:val="00B54335"/>
    <w:rsid w:val="00B54612"/>
    <w:rsid w:val="00B6310E"/>
    <w:rsid w:val="00B67515"/>
    <w:rsid w:val="00B710CB"/>
    <w:rsid w:val="00B75DB5"/>
    <w:rsid w:val="00B75DE6"/>
    <w:rsid w:val="00B76C14"/>
    <w:rsid w:val="00B76DBE"/>
    <w:rsid w:val="00B76DE1"/>
    <w:rsid w:val="00B8371D"/>
    <w:rsid w:val="00B8577A"/>
    <w:rsid w:val="00B868DD"/>
    <w:rsid w:val="00B91578"/>
    <w:rsid w:val="00B93489"/>
    <w:rsid w:val="00BB0B26"/>
    <w:rsid w:val="00BB15CE"/>
    <w:rsid w:val="00BB17A5"/>
    <w:rsid w:val="00BB4D2C"/>
    <w:rsid w:val="00BB5797"/>
    <w:rsid w:val="00BB60C7"/>
    <w:rsid w:val="00BB70A6"/>
    <w:rsid w:val="00BC40FE"/>
    <w:rsid w:val="00BD0980"/>
    <w:rsid w:val="00BD49BB"/>
    <w:rsid w:val="00BF13EA"/>
    <w:rsid w:val="00BF4D8B"/>
    <w:rsid w:val="00C00321"/>
    <w:rsid w:val="00C0390D"/>
    <w:rsid w:val="00C068A6"/>
    <w:rsid w:val="00C06A80"/>
    <w:rsid w:val="00C12359"/>
    <w:rsid w:val="00C14775"/>
    <w:rsid w:val="00C15FD0"/>
    <w:rsid w:val="00C16C37"/>
    <w:rsid w:val="00C226E5"/>
    <w:rsid w:val="00C257E7"/>
    <w:rsid w:val="00C26DB3"/>
    <w:rsid w:val="00C301E9"/>
    <w:rsid w:val="00C3409C"/>
    <w:rsid w:val="00C3618F"/>
    <w:rsid w:val="00C413EE"/>
    <w:rsid w:val="00C42055"/>
    <w:rsid w:val="00C46DD1"/>
    <w:rsid w:val="00C47FAA"/>
    <w:rsid w:val="00C516CF"/>
    <w:rsid w:val="00C5313A"/>
    <w:rsid w:val="00C53370"/>
    <w:rsid w:val="00C57D88"/>
    <w:rsid w:val="00C61635"/>
    <w:rsid w:val="00C675F4"/>
    <w:rsid w:val="00C70A8C"/>
    <w:rsid w:val="00C720A1"/>
    <w:rsid w:val="00C7397C"/>
    <w:rsid w:val="00C8094F"/>
    <w:rsid w:val="00C81CD4"/>
    <w:rsid w:val="00C90DE8"/>
    <w:rsid w:val="00C92615"/>
    <w:rsid w:val="00C96159"/>
    <w:rsid w:val="00CA236C"/>
    <w:rsid w:val="00CA3001"/>
    <w:rsid w:val="00CA36A3"/>
    <w:rsid w:val="00CB05E5"/>
    <w:rsid w:val="00CB23DF"/>
    <w:rsid w:val="00CB5D0E"/>
    <w:rsid w:val="00CB74DA"/>
    <w:rsid w:val="00CC05DF"/>
    <w:rsid w:val="00CC470F"/>
    <w:rsid w:val="00CD448D"/>
    <w:rsid w:val="00CD6139"/>
    <w:rsid w:val="00CD67D3"/>
    <w:rsid w:val="00CE33A1"/>
    <w:rsid w:val="00CE43E8"/>
    <w:rsid w:val="00CE6F4F"/>
    <w:rsid w:val="00CF58BD"/>
    <w:rsid w:val="00D01545"/>
    <w:rsid w:val="00D03B7B"/>
    <w:rsid w:val="00D03EC7"/>
    <w:rsid w:val="00D04834"/>
    <w:rsid w:val="00D04BAC"/>
    <w:rsid w:val="00D141F2"/>
    <w:rsid w:val="00D14E7C"/>
    <w:rsid w:val="00D153D2"/>
    <w:rsid w:val="00D16A78"/>
    <w:rsid w:val="00D26FF5"/>
    <w:rsid w:val="00D278EA"/>
    <w:rsid w:val="00D33AEC"/>
    <w:rsid w:val="00D33F87"/>
    <w:rsid w:val="00D41720"/>
    <w:rsid w:val="00D522F5"/>
    <w:rsid w:val="00D54B54"/>
    <w:rsid w:val="00D57406"/>
    <w:rsid w:val="00D601C5"/>
    <w:rsid w:val="00D60702"/>
    <w:rsid w:val="00D639A3"/>
    <w:rsid w:val="00D64014"/>
    <w:rsid w:val="00D66479"/>
    <w:rsid w:val="00D70676"/>
    <w:rsid w:val="00D7134E"/>
    <w:rsid w:val="00D7146A"/>
    <w:rsid w:val="00D80015"/>
    <w:rsid w:val="00D8219F"/>
    <w:rsid w:val="00D8289C"/>
    <w:rsid w:val="00D8531F"/>
    <w:rsid w:val="00D94BC8"/>
    <w:rsid w:val="00D95CC1"/>
    <w:rsid w:val="00D96D93"/>
    <w:rsid w:val="00DA2AAF"/>
    <w:rsid w:val="00DB2208"/>
    <w:rsid w:val="00DC4837"/>
    <w:rsid w:val="00DD00DE"/>
    <w:rsid w:val="00DD38F9"/>
    <w:rsid w:val="00DD61CD"/>
    <w:rsid w:val="00DD6E37"/>
    <w:rsid w:val="00DD6ED4"/>
    <w:rsid w:val="00DE04D5"/>
    <w:rsid w:val="00DE08F1"/>
    <w:rsid w:val="00DE3F1B"/>
    <w:rsid w:val="00DE5467"/>
    <w:rsid w:val="00E01AB2"/>
    <w:rsid w:val="00E02DAC"/>
    <w:rsid w:val="00E0430D"/>
    <w:rsid w:val="00E10818"/>
    <w:rsid w:val="00E11847"/>
    <w:rsid w:val="00E136B9"/>
    <w:rsid w:val="00E16ACF"/>
    <w:rsid w:val="00E1727D"/>
    <w:rsid w:val="00E22F61"/>
    <w:rsid w:val="00E2318D"/>
    <w:rsid w:val="00E23843"/>
    <w:rsid w:val="00E30511"/>
    <w:rsid w:val="00E30B1A"/>
    <w:rsid w:val="00E312F3"/>
    <w:rsid w:val="00E31B6A"/>
    <w:rsid w:val="00E324EB"/>
    <w:rsid w:val="00E333F0"/>
    <w:rsid w:val="00E430F6"/>
    <w:rsid w:val="00E50FB6"/>
    <w:rsid w:val="00E51362"/>
    <w:rsid w:val="00E535F1"/>
    <w:rsid w:val="00E56AD7"/>
    <w:rsid w:val="00E60379"/>
    <w:rsid w:val="00E65F33"/>
    <w:rsid w:val="00E70512"/>
    <w:rsid w:val="00E71C45"/>
    <w:rsid w:val="00E86CBB"/>
    <w:rsid w:val="00E922C6"/>
    <w:rsid w:val="00E9242D"/>
    <w:rsid w:val="00E95A06"/>
    <w:rsid w:val="00EA735C"/>
    <w:rsid w:val="00EA7492"/>
    <w:rsid w:val="00EB3A6F"/>
    <w:rsid w:val="00EB463D"/>
    <w:rsid w:val="00EB4E37"/>
    <w:rsid w:val="00EB662F"/>
    <w:rsid w:val="00EC0D6C"/>
    <w:rsid w:val="00EC1479"/>
    <w:rsid w:val="00EC7B8A"/>
    <w:rsid w:val="00ED6779"/>
    <w:rsid w:val="00ED6E0F"/>
    <w:rsid w:val="00EE002F"/>
    <w:rsid w:val="00EE1E44"/>
    <w:rsid w:val="00EF07FA"/>
    <w:rsid w:val="00F00687"/>
    <w:rsid w:val="00F05BAB"/>
    <w:rsid w:val="00F1245D"/>
    <w:rsid w:val="00F20F99"/>
    <w:rsid w:val="00F32189"/>
    <w:rsid w:val="00F33E9A"/>
    <w:rsid w:val="00F4069E"/>
    <w:rsid w:val="00F52565"/>
    <w:rsid w:val="00F54034"/>
    <w:rsid w:val="00F56011"/>
    <w:rsid w:val="00F60B45"/>
    <w:rsid w:val="00F6317E"/>
    <w:rsid w:val="00F65E9A"/>
    <w:rsid w:val="00F71A11"/>
    <w:rsid w:val="00F73426"/>
    <w:rsid w:val="00F7420C"/>
    <w:rsid w:val="00F802AC"/>
    <w:rsid w:val="00F80CAB"/>
    <w:rsid w:val="00F82D38"/>
    <w:rsid w:val="00F86867"/>
    <w:rsid w:val="00FA0B94"/>
    <w:rsid w:val="00FA1639"/>
    <w:rsid w:val="00FA3054"/>
    <w:rsid w:val="00FA36BA"/>
    <w:rsid w:val="00FA3A38"/>
    <w:rsid w:val="00FA47FE"/>
    <w:rsid w:val="00FB1902"/>
    <w:rsid w:val="00FC7887"/>
    <w:rsid w:val="00FD1B4D"/>
    <w:rsid w:val="00FD4830"/>
    <w:rsid w:val="00FD550E"/>
    <w:rsid w:val="00FF0907"/>
    <w:rsid w:val="00FF0ACE"/>
    <w:rsid w:val="00FF1A44"/>
    <w:rsid w:val="00FF1ED6"/>
    <w:rsid w:val="00FF32C7"/>
    <w:rsid w:val="00FF59AC"/>
    <w:rsid w:val="00FF5AF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ofessional"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opten.eu/private/selection-criteria/television-set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5726</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6717</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136</cp:revision>
  <cp:lastPrinted>2022-03-21T14:45:00Z</cp:lastPrinted>
  <dcterms:created xsi:type="dcterms:W3CDTF">2021-06-17T06:42:00Z</dcterms:created>
  <dcterms:modified xsi:type="dcterms:W3CDTF">2022-03-21T14:46:00Z</dcterms:modified>
  <cp:category/>
</cp:coreProperties>
</file>