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5D0E6B70"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29A2534F" w:rsidR="00303312" w:rsidRPr="00B67515" w:rsidRDefault="002C645E" w:rsidP="00303312">
      <w:pPr>
        <w:pStyle w:val="Header"/>
        <w:rPr>
          <w:rFonts w:ascii="Arial" w:hAnsi="Arial" w:cs="Arial"/>
          <w:sz w:val="12"/>
          <w:szCs w:val="12"/>
        </w:rPr>
      </w:pPr>
      <w:r>
        <w:rPr>
          <w:noProof/>
          <w:lang w:val="pt-PT" w:eastAsia="pt-PT"/>
        </w:rPr>
        <w:drawing>
          <wp:anchor distT="0" distB="0" distL="114300" distR="114300" simplePos="0" relativeHeight="251671040" behindDoc="0" locked="0" layoutInCell="1" allowOverlap="1" wp14:anchorId="317B9A9D" wp14:editId="5362D66A">
            <wp:simplePos x="0" y="0"/>
            <wp:positionH relativeFrom="column">
              <wp:posOffset>4756150</wp:posOffset>
            </wp:positionH>
            <wp:positionV relativeFrom="paragraph">
              <wp:posOffset>71755</wp:posOffset>
            </wp:positionV>
            <wp:extent cx="652780" cy="917575"/>
            <wp:effectExtent l="0" t="0" r="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8"/>
                    <a:srcRect t="4373" b="4373"/>
                    <a:stretch>
                      <a:fillRect/>
                    </a:stretch>
                  </pic:blipFill>
                  <pic:spPr bwMode="auto">
                    <a:xfrm>
                      <a:off x="0" y="0"/>
                      <a:ext cx="652780" cy="917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DD00DE" w14:paraId="65EF4D94" w14:textId="77777777" w:rsidTr="00544A57">
        <w:trPr>
          <w:trHeight w:val="1359"/>
        </w:trPr>
        <w:tc>
          <w:tcPr>
            <w:tcW w:w="7230" w:type="dxa"/>
            <w:vAlign w:val="center"/>
          </w:tcPr>
          <w:p w14:paraId="72B61158" w14:textId="5FF25BE1" w:rsidR="004D2DFC" w:rsidRPr="0079150E" w:rsidRDefault="00E2068E" w:rsidP="001D1304">
            <w:pPr>
              <w:pStyle w:val="Header"/>
              <w:rPr>
                <w:rFonts w:ascii="Arial" w:hAnsi="Arial"/>
                <w:sz w:val="52"/>
              </w:rPr>
            </w:pPr>
            <w:r>
              <w:rPr>
                <w:rFonts w:ascii="Arial" w:hAnsi="Arial"/>
                <w:sz w:val="52"/>
              </w:rPr>
              <w:t>Vacuum Cleaners</w:t>
            </w:r>
          </w:p>
          <w:p w14:paraId="4DC44DBC" w14:textId="77777777" w:rsidR="004D2DFC" w:rsidRPr="0079150E" w:rsidRDefault="004D2DFC" w:rsidP="001D1304">
            <w:pPr>
              <w:pStyle w:val="Header"/>
              <w:rPr>
                <w:rFonts w:ascii="Arial" w:hAnsi="Arial"/>
                <w:sz w:val="16"/>
                <w:szCs w:val="16"/>
              </w:rPr>
            </w:pPr>
          </w:p>
          <w:p w14:paraId="7EE70D5E" w14:textId="798E8AED" w:rsidR="004D2DFC" w:rsidRPr="0079150E" w:rsidRDefault="00D06A06" w:rsidP="001D1304">
            <w:pPr>
              <w:pStyle w:val="Header"/>
              <w:rPr>
                <w:rFonts w:ascii="Arial" w:hAnsi="Arial"/>
                <w:sz w:val="20"/>
              </w:rPr>
            </w:pPr>
            <w:hyperlink r:id="rId9" w:history="1">
              <w:r w:rsidR="00DD00DE">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12C84F99" w:rsidR="004D2DFC" w:rsidRPr="0079150E" w:rsidRDefault="00B8371D" w:rsidP="00C068A6">
            <w:pPr>
              <w:pStyle w:val="Header"/>
              <w:ind w:hanging="89"/>
              <w:jc w:val="center"/>
            </w:pP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79150E" w:rsidRDefault="00303312" w:rsidP="00303312">
      <w:pPr>
        <w:pBdr>
          <w:bottom w:val="single" w:sz="4" w:space="1" w:color="auto"/>
        </w:pBdr>
        <w:spacing w:after="0"/>
        <w:jc w:val="both"/>
        <w:rPr>
          <w:rFonts w:ascii="Arial" w:hAnsi="Arial" w:cs="Arial"/>
          <w:sz w:val="12"/>
          <w:szCs w:val="12"/>
        </w:rPr>
      </w:pPr>
    </w:p>
    <w:p w14:paraId="54D192D8" w14:textId="77777777" w:rsidR="00AF0B85" w:rsidRPr="0079150E"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0C30EFC7"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CF7258">
        <w:rPr>
          <w:rFonts w:ascii="Arial" w:hAnsi="Arial"/>
          <w:sz w:val="20"/>
        </w:rPr>
        <w:t>vacuum cleaners</w:t>
      </w:r>
      <w:r>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E2068E">
          <w:rPr>
            <w:rStyle w:val="Hyperlink"/>
            <w:rFonts w:ascii="Arial" w:hAnsi="Arial"/>
            <w:bCs/>
            <w:sz w:val="20"/>
          </w:rPr>
          <w:t>Vacuum Cleaners</w:t>
        </w:r>
      </w:hyperlink>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62A5FDFA" w14:textId="3BE84C0C" w:rsidR="005737A1" w:rsidRDefault="005737A1" w:rsidP="005737A1">
      <w:pPr>
        <w:spacing w:after="0" w:line="300" w:lineRule="exact"/>
        <w:jc w:val="both"/>
        <w:rPr>
          <w:rFonts w:ascii="Arial" w:hAnsi="Arial" w:cs="Arial"/>
          <w:sz w:val="20"/>
        </w:rPr>
      </w:pPr>
      <w:r>
        <w:rPr>
          <w:rFonts w:ascii="Arial" w:hAnsi="Arial" w:cs="Arial"/>
          <w:sz w:val="20"/>
        </w:rPr>
        <w:t>Th</w:t>
      </w:r>
      <w:r w:rsidRPr="00C92615">
        <w:rPr>
          <w:rFonts w:ascii="Arial" w:hAnsi="Arial" w:cs="Arial"/>
          <w:sz w:val="20"/>
        </w:rPr>
        <w:t xml:space="preserve">e </w:t>
      </w:r>
      <w:r>
        <w:rPr>
          <w:rFonts w:ascii="Arial" w:hAnsi="Arial" w:cs="Arial"/>
          <w:sz w:val="20"/>
        </w:rPr>
        <w:t xml:space="preserve">category </w:t>
      </w:r>
      <w:r w:rsidR="00677F62">
        <w:rPr>
          <w:rFonts w:ascii="Arial" w:hAnsi="Arial" w:cs="Arial"/>
          <w:sz w:val="20"/>
        </w:rPr>
        <w:t>vacuum cleaners</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includes</w:t>
      </w:r>
      <w:r w:rsidR="00357EAB">
        <w:rPr>
          <w:rFonts w:ascii="Arial" w:hAnsi="Arial" w:cs="Arial"/>
          <w:sz w:val="20"/>
        </w:rPr>
        <w:t xml:space="preserve"> </w:t>
      </w:r>
      <w:r w:rsidR="00357EAB" w:rsidRPr="00357EAB">
        <w:rPr>
          <w:rFonts w:ascii="Arial" w:hAnsi="Arial" w:cs="Arial"/>
          <w:sz w:val="20"/>
        </w:rPr>
        <w:t>upright and cylinder cleaners, with or without dustbag, and handheld</w:t>
      </w:r>
      <w:r w:rsidR="00357EAB">
        <w:rPr>
          <w:rFonts w:ascii="Arial" w:hAnsi="Arial" w:cs="Arial"/>
          <w:sz w:val="20"/>
        </w:rPr>
        <w:t>s.</w:t>
      </w:r>
    </w:p>
    <w:p w14:paraId="150D5755" w14:textId="77777777" w:rsidR="005737A1" w:rsidRDefault="005737A1" w:rsidP="005737A1">
      <w:pPr>
        <w:spacing w:after="0" w:line="300" w:lineRule="exact"/>
        <w:jc w:val="both"/>
        <w:rPr>
          <w:rFonts w:ascii="Arial" w:hAnsi="Arial" w:cs="Arial"/>
          <w:sz w:val="20"/>
        </w:rPr>
      </w:pPr>
      <w:r>
        <w:rPr>
          <w:rFonts w:ascii="Arial" w:hAnsi="Arial" w:cs="Arial"/>
          <w:sz w:val="20"/>
        </w:rPr>
        <w:t>Considering the</w:t>
      </w:r>
      <w:r w:rsidRPr="00E31B6A">
        <w:rPr>
          <w:rFonts w:ascii="Arial" w:hAnsi="Arial" w:cs="Arial"/>
          <w:sz w:val="20"/>
        </w:rPr>
        <w:t xml:space="preserve"> following assumptions</w:t>
      </w:r>
      <w:r>
        <w:rPr>
          <w:rFonts w:ascii="Arial" w:hAnsi="Arial" w:cs="Arial"/>
          <w:sz w:val="20"/>
        </w:rPr>
        <w:t>,</w:t>
      </w:r>
      <w:r w:rsidRPr="00E31B6A">
        <w:rPr>
          <w:rFonts w:ascii="Arial" w:hAnsi="Arial" w:cs="Arial"/>
          <w:sz w:val="20"/>
        </w:rPr>
        <w:t xml:space="preserve"> </w:t>
      </w:r>
      <w:r>
        <w:rPr>
          <w:rFonts w:ascii="Arial" w:hAnsi="Arial" w:cs="Arial"/>
          <w:sz w:val="20"/>
        </w:rPr>
        <w:t xml:space="preserve">it is possible to achieve the </w:t>
      </w:r>
      <w:r w:rsidRPr="00C92615">
        <w:rPr>
          <w:rFonts w:ascii="Arial" w:hAnsi="Arial" w:cs="Arial"/>
          <w:sz w:val="20"/>
        </w:rPr>
        <w:t>s</w:t>
      </w:r>
      <w:r>
        <w:rPr>
          <w:rFonts w:ascii="Arial" w:hAnsi="Arial" w:cs="Arial"/>
          <w:sz w:val="20"/>
        </w:rPr>
        <w:t>avings indicated in the next table</w:t>
      </w:r>
      <w:r w:rsidRPr="00C92615">
        <w:rPr>
          <w:rFonts w:ascii="Arial" w:hAnsi="Arial" w:cs="Arial"/>
          <w:sz w:val="20"/>
        </w:rPr>
        <w:t>.</w:t>
      </w:r>
    </w:p>
    <w:p w14:paraId="334113EB" w14:textId="77777777" w:rsidR="005737A1" w:rsidRDefault="005737A1" w:rsidP="00D03EC7">
      <w:pPr>
        <w:spacing w:after="0" w:line="300" w:lineRule="exact"/>
        <w:jc w:val="both"/>
        <w:rPr>
          <w:rFonts w:ascii="Arial" w:hAnsi="Arial" w:cs="Arial"/>
          <w:sz w:val="20"/>
        </w:rPr>
      </w:pP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F2C9644"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lc="http://schemas.openxmlformats.org/drawingml/2006/lockedCanvas">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sidR="00864878">
              <w:rPr>
                <w:rFonts w:ascii="Arial" w:hAnsi="Arial" w:cs="Arial"/>
                <w:sz w:val="20"/>
              </w:rPr>
              <w:t xml:space="preserve">  </w:t>
            </w:r>
            <w:r>
              <w:rPr>
                <w:rFonts w:ascii="Arial" w:hAnsi="Arial" w:cs="Arial"/>
                <w:sz w:val="20"/>
              </w:rPr>
              <w:t>Assumptions</w:t>
            </w:r>
          </w:p>
        </w:tc>
        <w:tc>
          <w:tcPr>
            <w:tcW w:w="7030" w:type="dxa"/>
            <w:vAlign w:val="center"/>
            <w:hideMark/>
          </w:tcPr>
          <w:p w14:paraId="1B5C6452"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10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45CA053E" w:rsidR="00E86CBB" w:rsidRDefault="001F2D7D" w:rsidP="00D3290E">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1 hour use per week</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77777777" w:rsidR="00E86CBB" w:rsidRDefault="00E86CBB" w:rsidP="00E86CBB">
      <w:pPr>
        <w:spacing w:after="0" w:line="300" w:lineRule="exact"/>
        <w:jc w:val="both"/>
        <w:rPr>
          <w:rFonts w:ascii="Arial" w:hAnsi="Arial" w:cs="Arial"/>
          <w:sz w:val="20"/>
        </w:rPr>
      </w:pPr>
    </w:p>
    <w:p w14:paraId="244808BD" w14:textId="77777777" w:rsidR="00E86CBB" w:rsidRDefault="00E86CBB" w:rsidP="00E86CBB">
      <w:pPr>
        <w:spacing w:after="0" w:line="300" w:lineRule="exact"/>
        <w:jc w:val="both"/>
        <w:rPr>
          <w:rFonts w:ascii="Arial" w:hAnsi="Arial" w:cs="Arial"/>
          <w:sz w:val="20"/>
        </w:rPr>
      </w:pPr>
    </w:p>
    <w:tbl>
      <w:tblPr>
        <w:tblW w:w="0" w:type="auto"/>
        <w:tblCellMar>
          <w:left w:w="70" w:type="dxa"/>
          <w:right w:w="70" w:type="dxa"/>
        </w:tblCellMar>
        <w:tblLook w:val="04A0" w:firstRow="1" w:lastRow="0" w:firstColumn="1" w:lastColumn="0" w:noHBand="0" w:noVBand="1"/>
      </w:tblPr>
      <w:tblGrid>
        <w:gridCol w:w="2728"/>
        <w:gridCol w:w="1395"/>
        <w:gridCol w:w="1651"/>
        <w:gridCol w:w="196"/>
        <w:gridCol w:w="1395"/>
        <w:gridCol w:w="1651"/>
      </w:tblGrid>
      <w:tr w:rsidR="00E86CBB" w:rsidRPr="00D4357A" w14:paraId="27956825" w14:textId="77777777" w:rsidTr="00F71971">
        <w:trPr>
          <w:trHeight w:val="300"/>
        </w:trPr>
        <w:tc>
          <w:tcPr>
            <w:tcW w:w="0" w:type="auto"/>
            <w:tcBorders>
              <w:top w:val="nil"/>
              <w:left w:val="nil"/>
              <w:bottom w:val="single" w:sz="8" w:space="0" w:color="auto"/>
              <w:right w:val="single" w:sz="8" w:space="0" w:color="auto"/>
            </w:tcBorders>
            <w:shd w:val="clear" w:color="auto" w:fill="auto"/>
            <w:vAlign w:val="center"/>
            <w:hideMark/>
          </w:tcPr>
          <w:p w14:paraId="7A83FD0B"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0" w:type="auto"/>
            <w:tcBorders>
              <w:top w:val="single" w:sz="8" w:space="0" w:color="auto"/>
              <w:left w:val="nil"/>
              <w:bottom w:val="single" w:sz="8" w:space="0" w:color="auto"/>
              <w:right w:val="single" w:sz="8" w:space="0" w:color="auto"/>
            </w:tcBorders>
            <w:shd w:val="clear" w:color="000000" w:fill="C2D69B"/>
            <w:vAlign w:val="center"/>
            <w:hideMark/>
          </w:tcPr>
          <w:p w14:paraId="348F8CA7"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Topten model</w:t>
            </w:r>
          </w:p>
        </w:tc>
        <w:tc>
          <w:tcPr>
            <w:tcW w:w="0" w:type="auto"/>
            <w:tcBorders>
              <w:top w:val="single" w:sz="8" w:space="0" w:color="auto"/>
              <w:left w:val="nil"/>
              <w:bottom w:val="single" w:sz="8" w:space="0" w:color="auto"/>
              <w:right w:val="single" w:sz="8" w:space="0" w:color="auto"/>
            </w:tcBorders>
            <w:shd w:val="clear" w:color="000000" w:fill="D99594"/>
            <w:vAlign w:val="center"/>
            <w:hideMark/>
          </w:tcPr>
          <w:p w14:paraId="0213ADAD"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Inefficient model</w:t>
            </w:r>
          </w:p>
        </w:tc>
        <w:tc>
          <w:tcPr>
            <w:tcW w:w="0" w:type="auto"/>
            <w:tcBorders>
              <w:top w:val="nil"/>
              <w:left w:val="nil"/>
              <w:bottom w:val="nil"/>
              <w:right w:val="single" w:sz="8" w:space="0" w:color="auto"/>
            </w:tcBorders>
            <w:shd w:val="clear" w:color="auto" w:fill="auto"/>
            <w:vAlign w:val="center"/>
            <w:hideMark/>
          </w:tcPr>
          <w:p w14:paraId="47FA7281"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 </w:t>
            </w:r>
          </w:p>
        </w:tc>
        <w:tc>
          <w:tcPr>
            <w:tcW w:w="0" w:type="auto"/>
            <w:tcBorders>
              <w:top w:val="single" w:sz="8" w:space="0" w:color="auto"/>
              <w:left w:val="nil"/>
              <w:bottom w:val="single" w:sz="8" w:space="0" w:color="auto"/>
              <w:right w:val="single" w:sz="8" w:space="0" w:color="auto"/>
            </w:tcBorders>
            <w:shd w:val="clear" w:color="000000" w:fill="C2D69B"/>
            <w:vAlign w:val="center"/>
            <w:hideMark/>
          </w:tcPr>
          <w:p w14:paraId="6E07A298"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Topten model</w:t>
            </w:r>
          </w:p>
        </w:tc>
        <w:tc>
          <w:tcPr>
            <w:tcW w:w="0" w:type="auto"/>
            <w:tcBorders>
              <w:top w:val="single" w:sz="8" w:space="0" w:color="auto"/>
              <w:left w:val="nil"/>
              <w:bottom w:val="single" w:sz="8" w:space="0" w:color="auto"/>
              <w:right w:val="single" w:sz="8" w:space="0" w:color="auto"/>
            </w:tcBorders>
            <w:shd w:val="clear" w:color="000000" w:fill="D99594"/>
            <w:vAlign w:val="center"/>
            <w:hideMark/>
          </w:tcPr>
          <w:p w14:paraId="35F588FF"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Inefficient model</w:t>
            </w:r>
          </w:p>
        </w:tc>
      </w:tr>
      <w:tr w:rsidR="00E86CBB" w:rsidRPr="00D4357A" w14:paraId="15077441" w14:textId="77777777" w:rsidTr="00F7197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C90E30" w14:textId="6B429508" w:rsidR="00E86CBB" w:rsidRPr="00D4357A" w:rsidRDefault="00727187" w:rsidP="003F27AF">
            <w:pPr>
              <w:spacing w:after="0"/>
              <w:rPr>
                <w:rFonts w:ascii="Arial" w:hAnsi="Arial" w:cs="Arial"/>
                <w:color w:val="000000"/>
                <w:sz w:val="20"/>
                <w:lang w:val="de-DE" w:eastAsia="de-DE"/>
              </w:rPr>
            </w:pPr>
            <w:r>
              <w:rPr>
                <w:rFonts w:ascii="Arial" w:hAnsi="Arial" w:cs="Arial"/>
                <w:color w:val="000000"/>
                <w:sz w:val="20"/>
                <w:lang w:val="de-DE" w:eastAsia="de-DE"/>
              </w:rPr>
              <w:t>Type</w:t>
            </w:r>
          </w:p>
        </w:tc>
        <w:tc>
          <w:tcPr>
            <w:tcW w:w="0" w:type="auto"/>
            <w:tcBorders>
              <w:top w:val="nil"/>
              <w:left w:val="nil"/>
              <w:bottom w:val="single" w:sz="8" w:space="0" w:color="auto"/>
              <w:right w:val="single" w:sz="8" w:space="0" w:color="auto"/>
            </w:tcBorders>
            <w:shd w:val="clear" w:color="auto" w:fill="auto"/>
            <w:vAlign w:val="center"/>
            <w:hideMark/>
          </w:tcPr>
          <w:p w14:paraId="21320A80" w14:textId="51B2AC0F"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with bag</w:t>
            </w:r>
          </w:p>
        </w:tc>
        <w:tc>
          <w:tcPr>
            <w:tcW w:w="0" w:type="auto"/>
            <w:tcBorders>
              <w:top w:val="nil"/>
              <w:left w:val="nil"/>
              <w:bottom w:val="single" w:sz="8" w:space="0" w:color="auto"/>
              <w:right w:val="single" w:sz="8" w:space="0" w:color="auto"/>
            </w:tcBorders>
            <w:shd w:val="clear" w:color="auto" w:fill="auto"/>
            <w:vAlign w:val="center"/>
            <w:hideMark/>
          </w:tcPr>
          <w:p w14:paraId="17C999C8" w14:textId="3A05B232"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with bag</w:t>
            </w:r>
          </w:p>
        </w:tc>
        <w:tc>
          <w:tcPr>
            <w:tcW w:w="0" w:type="auto"/>
            <w:tcBorders>
              <w:top w:val="nil"/>
              <w:left w:val="nil"/>
              <w:bottom w:val="nil"/>
              <w:right w:val="single" w:sz="8" w:space="0" w:color="auto"/>
            </w:tcBorders>
            <w:shd w:val="clear" w:color="auto" w:fill="auto"/>
            <w:vAlign w:val="center"/>
            <w:hideMark/>
          </w:tcPr>
          <w:p w14:paraId="2C1D59DC"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0" w:type="auto"/>
            <w:tcBorders>
              <w:top w:val="nil"/>
              <w:left w:val="nil"/>
              <w:bottom w:val="single" w:sz="8" w:space="0" w:color="auto"/>
              <w:right w:val="single" w:sz="8" w:space="0" w:color="auto"/>
            </w:tcBorders>
            <w:shd w:val="clear" w:color="auto" w:fill="auto"/>
            <w:vAlign w:val="center"/>
            <w:hideMark/>
          </w:tcPr>
          <w:p w14:paraId="7D0D1C58" w14:textId="6ECF050A"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without bag</w:t>
            </w:r>
          </w:p>
        </w:tc>
        <w:tc>
          <w:tcPr>
            <w:tcW w:w="0" w:type="auto"/>
            <w:tcBorders>
              <w:top w:val="nil"/>
              <w:left w:val="nil"/>
              <w:bottom w:val="single" w:sz="8" w:space="0" w:color="auto"/>
              <w:right w:val="single" w:sz="8" w:space="0" w:color="auto"/>
            </w:tcBorders>
            <w:shd w:val="clear" w:color="auto" w:fill="auto"/>
            <w:vAlign w:val="center"/>
            <w:hideMark/>
          </w:tcPr>
          <w:p w14:paraId="7B054A7C" w14:textId="4A72C2CB"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without bag</w:t>
            </w:r>
          </w:p>
        </w:tc>
      </w:tr>
      <w:tr w:rsidR="00E86CBB" w:rsidRPr="00D4357A" w14:paraId="01FB70E4" w14:textId="77777777" w:rsidTr="00F7197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03A92B" w14:textId="4C2CC903" w:rsidR="00E86CBB" w:rsidRPr="00D4357A" w:rsidRDefault="00746D00" w:rsidP="003F27AF">
            <w:pPr>
              <w:spacing w:after="0"/>
              <w:rPr>
                <w:rFonts w:ascii="Arial" w:hAnsi="Arial" w:cs="Arial"/>
                <w:color w:val="000000"/>
                <w:sz w:val="20"/>
                <w:lang w:val="de-DE" w:eastAsia="de-DE"/>
              </w:rPr>
            </w:pPr>
            <w:r>
              <w:rPr>
                <w:rFonts w:ascii="Arial" w:hAnsi="Arial" w:cs="Arial"/>
                <w:color w:val="000000"/>
                <w:sz w:val="20"/>
                <w:lang w:val="de-DE" w:eastAsia="de-DE"/>
              </w:rPr>
              <w:t>Power (W)</w:t>
            </w:r>
          </w:p>
        </w:tc>
        <w:tc>
          <w:tcPr>
            <w:tcW w:w="0" w:type="auto"/>
            <w:tcBorders>
              <w:top w:val="nil"/>
              <w:left w:val="nil"/>
              <w:bottom w:val="single" w:sz="8" w:space="0" w:color="auto"/>
              <w:right w:val="single" w:sz="8" w:space="0" w:color="auto"/>
            </w:tcBorders>
            <w:shd w:val="clear" w:color="auto" w:fill="auto"/>
            <w:vAlign w:val="center"/>
            <w:hideMark/>
          </w:tcPr>
          <w:p w14:paraId="597DC25E" w14:textId="080F7344"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400</w:t>
            </w:r>
          </w:p>
        </w:tc>
        <w:tc>
          <w:tcPr>
            <w:tcW w:w="0" w:type="auto"/>
            <w:tcBorders>
              <w:top w:val="nil"/>
              <w:left w:val="nil"/>
              <w:bottom w:val="single" w:sz="8" w:space="0" w:color="auto"/>
              <w:right w:val="single" w:sz="8" w:space="0" w:color="auto"/>
            </w:tcBorders>
            <w:shd w:val="clear" w:color="auto" w:fill="auto"/>
            <w:vAlign w:val="center"/>
            <w:hideMark/>
          </w:tcPr>
          <w:p w14:paraId="489671A1" w14:textId="2EC90389"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890</w:t>
            </w:r>
          </w:p>
        </w:tc>
        <w:tc>
          <w:tcPr>
            <w:tcW w:w="0" w:type="auto"/>
            <w:tcBorders>
              <w:top w:val="nil"/>
              <w:left w:val="nil"/>
              <w:bottom w:val="nil"/>
              <w:right w:val="single" w:sz="8" w:space="0" w:color="auto"/>
            </w:tcBorders>
            <w:shd w:val="clear" w:color="auto" w:fill="auto"/>
            <w:vAlign w:val="center"/>
            <w:hideMark/>
          </w:tcPr>
          <w:p w14:paraId="4E921364"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0" w:type="auto"/>
            <w:tcBorders>
              <w:top w:val="nil"/>
              <w:left w:val="nil"/>
              <w:bottom w:val="single" w:sz="8" w:space="0" w:color="auto"/>
              <w:right w:val="single" w:sz="8" w:space="0" w:color="auto"/>
            </w:tcBorders>
            <w:shd w:val="clear" w:color="auto" w:fill="auto"/>
            <w:vAlign w:val="center"/>
            <w:hideMark/>
          </w:tcPr>
          <w:p w14:paraId="54FEBE5D" w14:textId="01A72409"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450</w:t>
            </w:r>
          </w:p>
        </w:tc>
        <w:tc>
          <w:tcPr>
            <w:tcW w:w="0" w:type="auto"/>
            <w:tcBorders>
              <w:top w:val="nil"/>
              <w:left w:val="nil"/>
              <w:bottom w:val="single" w:sz="8" w:space="0" w:color="auto"/>
              <w:right w:val="single" w:sz="8" w:space="0" w:color="auto"/>
            </w:tcBorders>
            <w:shd w:val="clear" w:color="auto" w:fill="auto"/>
            <w:vAlign w:val="center"/>
            <w:hideMark/>
          </w:tcPr>
          <w:p w14:paraId="4BD9EA39" w14:textId="4C9D52C9"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890</w:t>
            </w:r>
          </w:p>
        </w:tc>
      </w:tr>
      <w:tr w:rsidR="00E86CBB" w:rsidRPr="00D4357A" w14:paraId="68935BE8" w14:textId="77777777" w:rsidTr="00F7197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0E7ED9" w14:textId="77777777" w:rsidR="00E86CBB" w:rsidRPr="00AC2931" w:rsidRDefault="00E86CBB" w:rsidP="003F27AF">
            <w:pPr>
              <w:spacing w:after="0"/>
              <w:rPr>
                <w:rFonts w:ascii="Arial" w:hAnsi="Arial" w:cs="Arial"/>
                <w:color w:val="000000"/>
                <w:sz w:val="20"/>
                <w:lang w:val="de-DE" w:eastAsia="de-DE"/>
              </w:rPr>
            </w:pPr>
            <w:r w:rsidRPr="00AC2931">
              <w:rPr>
                <w:rFonts w:ascii="Arial" w:hAnsi="Arial" w:cs="Arial"/>
                <w:color w:val="000000"/>
                <w:sz w:val="20"/>
                <w:lang w:val="de-DE" w:eastAsia="de-DE"/>
              </w:rPr>
              <w:t xml:space="preserve"> Electricity consumption</w:t>
            </w:r>
          </w:p>
        </w:tc>
        <w:tc>
          <w:tcPr>
            <w:tcW w:w="0" w:type="auto"/>
            <w:tcBorders>
              <w:top w:val="nil"/>
              <w:left w:val="nil"/>
              <w:bottom w:val="single" w:sz="8" w:space="0" w:color="auto"/>
              <w:right w:val="single" w:sz="8" w:space="0" w:color="auto"/>
            </w:tcBorders>
            <w:shd w:val="clear" w:color="auto" w:fill="auto"/>
            <w:vAlign w:val="center"/>
            <w:hideMark/>
          </w:tcPr>
          <w:p w14:paraId="5625300F" w14:textId="00A290C4"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21</w:t>
            </w:r>
            <w:r w:rsidR="00E86CBB" w:rsidRPr="00D4357A">
              <w:rPr>
                <w:rFonts w:ascii="Arial" w:hAnsi="Arial" w:cs="Arial"/>
                <w:color w:val="000000"/>
                <w:sz w:val="20"/>
                <w:lang w:val="de-DE" w:eastAsia="de-DE"/>
              </w:rPr>
              <w:t xml:space="preserve"> kWh/</w:t>
            </w:r>
            <w:r w:rsidR="009C7541">
              <w:rPr>
                <w:rFonts w:ascii="Arial" w:hAnsi="Arial" w:cs="Arial"/>
                <w:color w:val="000000"/>
                <w:sz w:val="20"/>
                <w:lang w:val="de-DE" w:eastAsia="de-DE"/>
              </w:rPr>
              <w:t>year</w:t>
            </w:r>
          </w:p>
        </w:tc>
        <w:tc>
          <w:tcPr>
            <w:tcW w:w="0" w:type="auto"/>
            <w:tcBorders>
              <w:top w:val="nil"/>
              <w:left w:val="nil"/>
              <w:bottom w:val="single" w:sz="8" w:space="0" w:color="auto"/>
              <w:right w:val="single" w:sz="8" w:space="0" w:color="auto"/>
            </w:tcBorders>
            <w:shd w:val="clear" w:color="auto" w:fill="auto"/>
            <w:vAlign w:val="center"/>
            <w:hideMark/>
          </w:tcPr>
          <w:p w14:paraId="6BB1987F" w14:textId="2BE360D3"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4</w:t>
            </w:r>
            <w:r w:rsidR="009C7541">
              <w:rPr>
                <w:rFonts w:ascii="Arial" w:hAnsi="Arial" w:cs="Arial"/>
                <w:color w:val="000000"/>
                <w:sz w:val="20"/>
                <w:lang w:val="de-DE" w:eastAsia="de-DE"/>
              </w:rPr>
              <w:t>6</w:t>
            </w:r>
            <w:r w:rsidR="00E86CBB" w:rsidRPr="00D4357A">
              <w:rPr>
                <w:rFonts w:ascii="Arial" w:hAnsi="Arial" w:cs="Arial"/>
                <w:color w:val="000000"/>
                <w:sz w:val="20"/>
                <w:lang w:val="de-DE" w:eastAsia="de-DE"/>
              </w:rPr>
              <w:t xml:space="preserve"> kWh/</w:t>
            </w:r>
            <w:r w:rsidR="009C7541">
              <w:rPr>
                <w:rFonts w:ascii="Arial" w:hAnsi="Arial" w:cs="Arial"/>
                <w:color w:val="000000"/>
                <w:sz w:val="20"/>
                <w:lang w:val="de-DE" w:eastAsia="de-DE"/>
              </w:rPr>
              <w:t>year</w:t>
            </w:r>
          </w:p>
        </w:tc>
        <w:tc>
          <w:tcPr>
            <w:tcW w:w="0" w:type="auto"/>
            <w:tcBorders>
              <w:top w:val="nil"/>
              <w:left w:val="nil"/>
              <w:bottom w:val="nil"/>
              <w:right w:val="single" w:sz="8" w:space="0" w:color="auto"/>
            </w:tcBorders>
            <w:shd w:val="clear" w:color="auto" w:fill="auto"/>
            <w:vAlign w:val="center"/>
            <w:hideMark/>
          </w:tcPr>
          <w:p w14:paraId="1734334E"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0" w:type="auto"/>
            <w:tcBorders>
              <w:top w:val="nil"/>
              <w:left w:val="nil"/>
              <w:bottom w:val="single" w:sz="8" w:space="0" w:color="auto"/>
              <w:right w:val="single" w:sz="8" w:space="0" w:color="auto"/>
            </w:tcBorders>
            <w:shd w:val="clear" w:color="auto" w:fill="auto"/>
            <w:vAlign w:val="center"/>
            <w:hideMark/>
          </w:tcPr>
          <w:p w14:paraId="48A0F1DB" w14:textId="7F61BBEB"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23</w:t>
            </w:r>
            <w:r w:rsidR="00E86CBB" w:rsidRPr="00D4357A">
              <w:rPr>
                <w:rFonts w:ascii="Arial" w:hAnsi="Arial" w:cs="Arial"/>
                <w:color w:val="000000"/>
                <w:sz w:val="20"/>
                <w:lang w:val="de-DE" w:eastAsia="de-DE"/>
              </w:rPr>
              <w:t xml:space="preserve"> kWh/</w:t>
            </w:r>
            <w:r w:rsidR="009C7541">
              <w:rPr>
                <w:rFonts w:ascii="Arial" w:hAnsi="Arial" w:cs="Arial"/>
                <w:color w:val="000000"/>
                <w:sz w:val="20"/>
                <w:lang w:val="de-DE" w:eastAsia="de-DE"/>
              </w:rPr>
              <w:t>year</w:t>
            </w:r>
          </w:p>
        </w:tc>
        <w:tc>
          <w:tcPr>
            <w:tcW w:w="0" w:type="auto"/>
            <w:tcBorders>
              <w:top w:val="nil"/>
              <w:left w:val="nil"/>
              <w:bottom w:val="single" w:sz="8" w:space="0" w:color="auto"/>
              <w:right w:val="single" w:sz="8" w:space="0" w:color="auto"/>
            </w:tcBorders>
            <w:shd w:val="clear" w:color="auto" w:fill="auto"/>
            <w:vAlign w:val="center"/>
            <w:hideMark/>
          </w:tcPr>
          <w:p w14:paraId="616B3313" w14:textId="599395E2"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46</w:t>
            </w:r>
            <w:r w:rsidR="00E86CBB" w:rsidRPr="00D4357A">
              <w:rPr>
                <w:rFonts w:ascii="Arial" w:hAnsi="Arial" w:cs="Arial"/>
                <w:color w:val="000000"/>
                <w:sz w:val="20"/>
                <w:lang w:val="de-DE" w:eastAsia="de-DE"/>
              </w:rPr>
              <w:t xml:space="preserve"> kWh/</w:t>
            </w:r>
            <w:r w:rsidR="009C7541">
              <w:rPr>
                <w:rFonts w:ascii="Arial" w:hAnsi="Arial" w:cs="Arial"/>
                <w:color w:val="000000"/>
                <w:sz w:val="20"/>
                <w:lang w:val="de-DE" w:eastAsia="de-DE"/>
              </w:rPr>
              <w:t>year</w:t>
            </w:r>
          </w:p>
        </w:tc>
      </w:tr>
      <w:tr w:rsidR="00E86CBB" w:rsidRPr="00D4357A" w14:paraId="6465482A" w14:textId="77777777" w:rsidTr="00F71971">
        <w:trPr>
          <w:trHeight w:val="300"/>
        </w:trPr>
        <w:tc>
          <w:tcPr>
            <w:tcW w:w="0" w:type="auto"/>
            <w:tcBorders>
              <w:top w:val="nil"/>
              <w:left w:val="single" w:sz="8" w:space="0" w:color="auto"/>
              <w:bottom w:val="single" w:sz="12" w:space="0" w:color="auto"/>
              <w:right w:val="single" w:sz="8" w:space="0" w:color="auto"/>
            </w:tcBorders>
            <w:shd w:val="clear" w:color="auto" w:fill="auto"/>
            <w:vAlign w:val="center"/>
            <w:hideMark/>
          </w:tcPr>
          <w:p w14:paraId="7839C4B8" w14:textId="77777777" w:rsidR="00E86CBB" w:rsidRPr="00D4357A" w:rsidRDefault="00E86CBB" w:rsidP="003F27AF">
            <w:pPr>
              <w:spacing w:after="0"/>
              <w:rPr>
                <w:rFonts w:ascii="Arial" w:hAnsi="Arial" w:cs="Arial"/>
                <w:b/>
                <w:bCs/>
                <w:color w:val="000000"/>
                <w:sz w:val="18"/>
                <w:szCs w:val="18"/>
                <w:lang w:val="en-US" w:eastAsia="de-DE"/>
              </w:rPr>
            </w:pPr>
            <w:r w:rsidRPr="00D4357A">
              <w:rPr>
                <w:rFonts w:ascii="Arial" w:hAnsi="Arial" w:cs="Arial"/>
                <w:b/>
                <w:bCs/>
                <w:color w:val="000000"/>
                <w:sz w:val="18"/>
                <w:szCs w:val="18"/>
                <w:lang w:val="en-US" w:eastAsia="de-DE"/>
              </w:rPr>
              <w:t xml:space="preserve"> Use cost (electricity in 10 years)</w:t>
            </w:r>
          </w:p>
        </w:tc>
        <w:tc>
          <w:tcPr>
            <w:tcW w:w="0" w:type="auto"/>
            <w:tcBorders>
              <w:top w:val="nil"/>
              <w:left w:val="nil"/>
              <w:bottom w:val="single" w:sz="12" w:space="0" w:color="auto"/>
              <w:right w:val="single" w:sz="8" w:space="0" w:color="auto"/>
            </w:tcBorders>
            <w:shd w:val="clear" w:color="auto" w:fill="auto"/>
            <w:vAlign w:val="center"/>
            <w:hideMark/>
          </w:tcPr>
          <w:p w14:paraId="5B3CC732" w14:textId="5DF8CFB3"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42</w:t>
            </w:r>
            <w:r w:rsidR="00E86CBB" w:rsidRPr="00D4357A">
              <w:rPr>
                <w:rFonts w:ascii="Arial" w:hAnsi="Arial" w:cs="Arial"/>
                <w:color w:val="000000"/>
                <w:sz w:val="20"/>
                <w:lang w:val="de-DE" w:eastAsia="de-DE"/>
              </w:rPr>
              <w:t xml:space="preserve"> €</w:t>
            </w:r>
          </w:p>
        </w:tc>
        <w:tc>
          <w:tcPr>
            <w:tcW w:w="0" w:type="auto"/>
            <w:tcBorders>
              <w:top w:val="nil"/>
              <w:left w:val="nil"/>
              <w:bottom w:val="single" w:sz="12" w:space="0" w:color="auto"/>
              <w:right w:val="single" w:sz="8" w:space="0" w:color="auto"/>
            </w:tcBorders>
            <w:shd w:val="clear" w:color="auto" w:fill="auto"/>
            <w:vAlign w:val="center"/>
            <w:hideMark/>
          </w:tcPr>
          <w:p w14:paraId="45B2A8D9" w14:textId="4ED9DA99"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93 €</w:t>
            </w:r>
          </w:p>
        </w:tc>
        <w:tc>
          <w:tcPr>
            <w:tcW w:w="0" w:type="auto"/>
            <w:tcBorders>
              <w:top w:val="nil"/>
              <w:left w:val="nil"/>
              <w:bottom w:val="nil"/>
              <w:right w:val="single" w:sz="8" w:space="0" w:color="auto"/>
            </w:tcBorders>
            <w:shd w:val="clear" w:color="auto" w:fill="auto"/>
            <w:vAlign w:val="center"/>
            <w:hideMark/>
          </w:tcPr>
          <w:p w14:paraId="720464F2" w14:textId="77777777" w:rsidR="00E86CBB" w:rsidRPr="00D4357A" w:rsidRDefault="00E86CBB" w:rsidP="003F27AF">
            <w:pPr>
              <w:spacing w:after="0"/>
              <w:jc w:val="center"/>
              <w:rPr>
                <w:rFonts w:ascii="Arial" w:hAnsi="Arial" w:cs="Arial"/>
                <w:color w:val="000000"/>
                <w:sz w:val="20"/>
                <w:lang w:val="de-DE" w:eastAsia="de-DE"/>
              </w:rPr>
            </w:pPr>
            <w:r w:rsidRPr="00D4357A">
              <w:rPr>
                <w:rFonts w:ascii="Arial" w:hAnsi="Arial" w:cs="Arial"/>
                <w:color w:val="000000"/>
                <w:sz w:val="20"/>
                <w:lang w:val="de-DE" w:eastAsia="de-DE"/>
              </w:rPr>
              <w:t> </w:t>
            </w:r>
          </w:p>
        </w:tc>
        <w:tc>
          <w:tcPr>
            <w:tcW w:w="0" w:type="auto"/>
            <w:tcBorders>
              <w:top w:val="nil"/>
              <w:left w:val="nil"/>
              <w:bottom w:val="single" w:sz="12" w:space="0" w:color="auto"/>
              <w:right w:val="single" w:sz="8" w:space="0" w:color="auto"/>
            </w:tcBorders>
            <w:shd w:val="clear" w:color="auto" w:fill="auto"/>
            <w:vAlign w:val="center"/>
            <w:hideMark/>
          </w:tcPr>
          <w:p w14:paraId="2DA18922" w14:textId="68BD1A86"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47 €</w:t>
            </w:r>
          </w:p>
        </w:tc>
        <w:tc>
          <w:tcPr>
            <w:tcW w:w="0" w:type="auto"/>
            <w:tcBorders>
              <w:top w:val="nil"/>
              <w:left w:val="nil"/>
              <w:bottom w:val="single" w:sz="12" w:space="0" w:color="auto"/>
              <w:right w:val="single" w:sz="8" w:space="0" w:color="auto"/>
            </w:tcBorders>
            <w:shd w:val="clear" w:color="auto" w:fill="auto"/>
            <w:vAlign w:val="center"/>
            <w:hideMark/>
          </w:tcPr>
          <w:p w14:paraId="2916A283" w14:textId="624414EC" w:rsidR="00E86CBB" w:rsidRPr="00D4357A" w:rsidRDefault="00746D00" w:rsidP="003F27AF">
            <w:pPr>
              <w:spacing w:after="0"/>
              <w:jc w:val="center"/>
              <w:rPr>
                <w:rFonts w:ascii="Arial" w:hAnsi="Arial" w:cs="Arial"/>
                <w:color w:val="000000"/>
                <w:sz w:val="20"/>
                <w:lang w:val="de-DE" w:eastAsia="de-DE"/>
              </w:rPr>
            </w:pPr>
            <w:r>
              <w:rPr>
                <w:rFonts w:ascii="Arial" w:hAnsi="Arial" w:cs="Arial"/>
                <w:color w:val="000000"/>
                <w:sz w:val="20"/>
                <w:lang w:val="de-DE" w:eastAsia="de-DE"/>
              </w:rPr>
              <w:t>93 €</w:t>
            </w:r>
          </w:p>
        </w:tc>
      </w:tr>
      <w:tr w:rsidR="00E86CBB" w:rsidRPr="00D4357A" w14:paraId="29F89167" w14:textId="77777777" w:rsidTr="00F71971">
        <w:trPr>
          <w:trHeight w:val="630"/>
        </w:trPr>
        <w:tc>
          <w:tcPr>
            <w:tcW w:w="0" w:type="auto"/>
            <w:tcBorders>
              <w:top w:val="nil"/>
              <w:left w:val="single" w:sz="8" w:space="0" w:color="auto"/>
              <w:bottom w:val="single" w:sz="8" w:space="0" w:color="auto"/>
              <w:right w:val="single" w:sz="8" w:space="0" w:color="auto"/>
            </w:tcBorders>
            <w:shd w:val="clear" w:color="000000" w:fill="C2D69B"/>
            <w:vAlign w:val="center"/>
            <w:hideMark/>
          </w:tcPr>
          <w:p w14:paraId="1C8E6587" w14:textId="77777777" w:rsidR="00E86CBB" w:rsidRPr="00D4357A" w:rsidRDefault="00E86CBB" w:rsidP="003F27AF">
            <w:pPr>
              <w:spacing w:after="0"/>
              <w:jc w:val="center"/>
              <w:rPr>
                <w:rFonts w:ascii="Arial" w:hAnsi="Arial" w:cs="Arial"/>
                <w:b/>
                <w:bCs/>
                <w:color w:val="000000"/>
                <w:sz w:val="20"/>
                <w:lang w:val="de-DE" w:eastAsia="de-DE"/>
              </w:rPr>
            </w:pPr>
            <w:r w:rsidRPr="00D4357A">
              <w:rPr>
                <w:rFonts w:ascii="Arial" w:hAnsi="Arial" w:cs="Arial"/>
                <w:b/>
                <w:bCs/>
                <w:color w:val="000000"/>
                <w:sz w:val="20"/>
                <w:lang w:val="de-DE" w:eastAsia="de-DE"/>
              </w:rPr>
              <w:t>Savings in 10 years</w:t>
            </w:r>
          </w:p>
        </w:tc>
        <w:tc>
          <w:tcPr>
            <w:tcW w:w="0" w:type="auto"/>
            <w:gridSpan w:val="2"/>
            <w:tcBorders>
              <w:top w:val="nil"/>
              <w:left w:val="nil"/>
              <w:bottom w:val="single" w:sz="8" w:space="0" w:color="auto"/>
              <w:right w:val="single" w:sz="8" w:space="0" w:color="000000"/>
            </w:tcBorders>
            <w:shd w:val="clear" w:color="000000" w:fill="C2D69B"/>
            <w:vAlign w:val="center"/>
            <w:hideMark/>
          </w:tcPr>
          <w:p w14:paraId="1DD99F99" w14:textId="43843FEB" w:rsidR="00E86CBB" w:rsidRPr="00D4357A" w:rsidRDefault="00746D00" w:rsidP="003F27AF">
            <w:pPr>
              <w:spacing w:after="0"/>
              <w:jc w:val="center"/>
              <w:rPr>
                <w:rFonts w:ascii="Arial" w:hAnsi="Arial" w:cs="Arial"/>
                <w:b/>
                <w:bCs/>
                <w:color w:val="000000"/>
                <w:sz w:val="20"/>
                <w:lang w:val="de-DE" w:eastAsia="de-DE"/>
              </w:rPr>
            </w:pPr>
            <w:r>
              <w:rPr>
                <w:rFonts w:ascii="Arial" w:hAnsi="Arial" w:cs="Arial"/>
                <w:b/>
                <w:bCs/>
                <w:color w:val="000000"/>
                <w:sz w:val="20"/>
                <w:lang w:val="de-DE" w:eastAsia="de-DE"/>
              </w:rPr>
              <w:t>55</w:t>
            </w:r>
            <w:r w:rsidR="00E86CBB" w:rsidRPr="00D4357A">
              <w:rPr>
                <w:rFonts w:ascii="Arial" w:hAnsi="Arial" w:cs="Arial"/>
                <w:b/>
                <w:bCs/>
                <w:color w:val="000000"/>
                <w:sz w:val="20"/>
                <w:lang w:val="de-DE" w:eastAsia="de-DE"/>
              </w:rPr>
              <w:t>% energy / unit</w:t>
            </w:r>
            <w:r w:rsidR="00E86CBB" w:rsidRPr="00D4357A">
              <w:rPr>
                <w:rFonts w:ascii="Arial" w:hAnsi="Arial" w:cs="Arial"/>
                <w:b/>
                <w:bCs/>
                <w:color w:val="000000"/>
                <w:sz w:val="20"/>
                <w:lang w:val="de-DE" w:eastAsia="de-DE"/>
              </w:rPr>
              <w:br/>
            </w:r>
            <w:r w:rsidR="00E86CBB" w:rsidRPr="003D7BFB">
              <w:rPr>
                <w:rFonts w:ascii="Arial" w:hAnsi="Arial" w:cs="Arial"/>
                <w:b/>
                <w:sz w:val="20"/>
              </w:rPr>
              <w:sym w:font="Wingdings" w:char="F0F0"/>
            </w:r>
            <w:r w:rsidR="00E86CBB" w:rsidRPr="00D4357A">
              <w:rPr>
                <w:rFonts w:ascii="Arial" w:hAnsi="Arial" w:cs="Arial"/>
                <w:b/>
                <w:bCs/>
                <w:color w:val="000000"/>
                <w:sz w:val="20"/>
                <w:lang w:val="de-DE" w:eastAsia="de-DE"/>
              </w:rPr>
              <w:t xml:space="preserve"> </w:t>
            </w:r>
            <w:r>
              <w:rPr>
                <w:rFonts w:ascii="Arial" w:hAnsi="Arial" w:cs="Arial"/>
                <w:b/>
                <w:bCs/>
                <w:color w:val="000000"/>
                <w:sz w:val="20"/>
                <w:lang w:val="de-DE" w:eastAsia="de-DE"/>
              </w:rPr>
              <w:t>51</w:t>
            </w:r>
            <w:r w:rsidR="00E86CBB" w:rsidRPr="00D4357A">
              <w:rPr>
                <w:rFonts w:ascii="Arial" w:hAnsi="Arial" w:cs="Arial"/>
                <w:b/>
                <w:bCs/>
                <w:color w:val="000000"/>
                <w:sz w:val="20"/>
                <w:lang w:val="de-DE" w:eastAsia="de-DE"/>
              </w:rPr>
              <w:t xml:space="preserve"> € / unit</w:t>
            </w:r>
          </w:p>
        </w:tc>
        <w:tc>
          <w:tcPr>
            <w:tcW w:w="0" w:type="auto"/>
            <w:tcBorders>
              <w:top w:val="nil"/>
              <w:left w:val="nil"/>
              <w:bottom w:val="nil"/>
              <w:right w:val="nil"/>
            </w:tcBorders>
            <w:shd w:val="clear" w:color="auto" w:fill="auto"/>
            <w:noWrap/>
            <w:vAlign w:val="bottom"/>
            <w:hideMark/>
          </w:tcPr>
          <w:p w14:paraId="40CC62DC" w14:textId="77777777" w:rsidR="00E86CBB" w:rsidRPr="00D4357A" w:rsidRDefault="00E86CBB" w:rsidP="003F27AF">
            <w:pPr>
              <w:spacing w:after="0"/>
              <w:jc w:val="center"/>
              <w:rPr>
                <w:rFonts w:ascii="Arial" w:hAnsi="Arial" w:cs="Arial"/>
                <w:b/>
                <w:bCs/>
                <w:color w:val="000000"/>
                <w:sz w:val="20"/>
                <w:lang w:val="de-DE" w:eastAsia="de-DE"/>
              </w:rPr>
            </w:pPr>
          </w:p>
        </w:tc>
        <w:tc>
          <w:tcPr>
            <w:tcW w:w="0" w:type="auto"/>
            <w:gridSpan w:val="2"/>
            <w:tcBorders>
              <w:top w:val="single" w:sz="12" w:space="0" w:color="auto"/>
              <w:left w:val="single" w:sz="8" w:space="0" w:color="auto"/>
              <w:bottom w:val="single" w:sz="8" w:space="0" w:color="auto"/>
              <w:right w:val="single" w:sz="8" w:space="0" w:color="000000"/>
            </w:tcBorders>
            <w:shd w:val="clear" w:color="000000" w:fill="C2D69B"/>
            <w:vAlign w:val="center"/>
            <w:hideMark/>
          </w:tcPr>
          <w:p w14:paraId="7BF96730" w14:textId="14CBB4B2" w:rsidR="00E86CBB" w:rsidRPr="00D4357A" w:rsidRDefault="009C7541" w:rsidP="003F27AF">
            <w:pPr>
              <w:spacing w:after="0"/>
              <w:jc w:val="center"/>
              <w:rPr>
                <w:rFonts w:ascii="Arial" w:hAnsi="Arial" w:cs="Arial"/>
                <w:b/>
                <w:bCs/>
                <w:color w:val="000000"/>
                <w:sz w:val="20"/>
                <w:lang w:val="de-DE" w:eastAsia="de-DE"/>
              </w:rPr>
            </w:pPr>
            <w:r>
              <w:rPr>
                <w:rFonts w:ascii="Arial" w:hAnsi="Arial" w:cs="Arial"/>
                <w:b/>
                <w:bCs/>
                <w:color w:val="000000"/>
                <w:sz w:val="20"/>
                <w:lang w:val="de-DE" w:eastAsia="de-DE"/>
              </w:rPr>
              <w:t>4</w:t>
            </w:r>
            <w:r w:rsidR="00746D00">
              <w:rPr>
                <w:rFonts w:ascii="Arial" w:hAnsi="Arial" w:cs="Arial"/>
                <w:b/>
                <w:bCs/>
                <w:color w:val="000000"/>
                <w:sz w:val="20"/>
                <w:lang w:val="de-DE" w:eastAsia="de-DE"/>
              </w:rPr>
              <w:t>9</w:t>
            </w:r>
            <w:r w:rsidR="00E86CBB" w:rsidRPr="00D4357A">
              <w:rPr>
                <w:rFonts w:ascii="Arial" w:hAnsi="Arial" w:cs="Arial"/>
                <w:b/>
                <w:bCs/>
                <w:color w:val="000000"/>
                <w:sz w:val="20"/>
                <w:lang w:val="de-DE" w:eastAsia="de-DE"/>
              </w:rPr>
              <w:t>% energy / unit</w:t>
            </w:r>
            <w:r w:rsidR="00E86CBB" w:rsidRPr="00D4357A">
              <w:rPr>
                <w:rFonts w:ascii="Arial" w:hAnsi="Arial" w:cs="Arial"/>
                <w:b/>
                <w:bCs/>
                <w:color w:val="000000"/>
                <w:sz w:val="20"/>
                <w:lang w:val="de-DE" w:eastAsia="de-DE"/>
              </w:rPr>
              <w:br/>
            </w:r>
            <w:r w:rsidR="00E86CBB" w:rsidRPr="003D7BFB">
              <w:rPr>
                <w:rFonts w:ascii="Arial" w:hAnsi="Arial" w:cs="Arial"/>
                <w:b/>
                <w:sz w:val="20"/>
              </w:rPr>
              <w:sym w:font="Wingdings" w:char="F0F0"/>
            </w:r>
            <w:r w:rsidR="00E86CBB">
              <w:rPr>
                <w:rFonts w:ascii="Arial" w:hAnsi="Arial" w:cs="Arial"/>
                <w:b/>
                <w:sz w:val="20"/>
              </w:rPr>
              <w:t xml:space="preserve"> </w:t>
            </w:r>
            <w:r>
              <w:rPr>
                <w:rFonts w:ascii="Arial" w:hAnsi="Arial" w:cs="Arial"/>
                <w:b/>
                <w:sz w:val="20"/>
              </w:rPr>
              <w:t>4</w:t>
            </w:r>
            <w:r w:rsidR="00746D00">
              <w:rPr>
                <w:rFonts w:ascii="Arial" w:hAnsi="Arial" w:cs="Arial"/>
                <w:b/>
                <w:sz w:val="20"/>
              </w:rPr>
              <w:t>6</w:t>
            </w:r>
            <w:r w:rsidR="00E86CBB" w:rsidRPr="00D4357A">
              <w:rPr>
                <w:rFonts w:ascii="Arial" w:hAnsi="Arial" w:cs="Arial"/>
                <w:b/>
                <w:bCs/>
                <w:color w:val="000000"/>
                <w:sz w:val="20"/>
                <w:lang w:val="de-DE" w:eastAsia="de-DE"/>
              </w:rPr>
              <w:t xml:space="preserve"> € / unit</w:t>
            </w:r>
          </w:p>
        </w:tc>
      </w:tr>
    </w:tbl>
    <w:p w14:paraId="3FEEE4B9" w14:textId="77777777" w:rsidR="00E86CBB" w:rsidRDefault="00E86CBB" w:rsidP="00E86CBB">
      <w:pPr>
        <w:spacing w:after="0" w:line="300" w:lineRule="exact"/>
        <w:jc w:val="both"/>
        <w:rPr>
          <w:rFonts w:ascii="Arial" w:hAnsi="Arial" w:cs="Arial"/>
          <w:sz w:val="20"/>
        </w:rPr>
      </w:pPr>
    </w:p>
    <w:p w14:paraId="4A71EE85" w14:textId="64CC779B" w:rsidR="00E86CBB" w:rsidRPr="00B67515" w:rsidRDefault="00D40736" w:rsidP="001B7541">
      <w:pPr>
        <w:spacing w:before="120" w:line="300" w:lineRule="exact"/>
        <w:jc w:val="both"/>
        <w:rPr>
          <w:rFonts w:ascii="Arial" w:hAnsi="Arial" w:cs="Arial"/>
          <w:sz w:val="20"/>
        </w:rPr>
      </w:pPr>
      <w:r w:rsidRPr="00D40736">
        <w:rPr>
          <w:rFonts w:ascii="Arial" w:hAnsi="Arial" w:cs="Arial"/>
          <w:sz w:val="20"/>
        </w:rPr>
        <w:lastRenderedPageBreak/>
        <w:t xml:space="preserve">The savings potential for a Topten model compared to an inefficient model </w:t>
      </w:r>
      <w:r w:rsidR="007B50C5">
        <w:rPr>
          <w:rFonts w:ascii="Arial" w:hAnsi="Arial" w:cs="Arial"/>
          <w:sz w:val="20"/>
        </w:rPr>
        <w:t xml:space="preserve">are </w:t>
      </w:r>
      <w:r w:rsidR="00813426">
        <w:rPr>
          <w:rFonts w:ascii="Arial" w:hAnsi="Arial" w:cs="Arial"/>
          <w:sz w:val="20"/>
        </w:rPr>
        <w:t>significant.</w:t>
      </w:r>
      <w:r w:rsidR="007B50C5">
        <w:rPr>
          <w:rFonts w:ascii="Arial" w:hAnsi="Arial" w:cs="Arial"/>
          <w:sz w:val="20"/>
        </w:rPr>
        <w:t xml:space="preserve"> </w:t>
      </w:r>
      <w:r w:rsidRPr="00D40736">
        <w:rPr>
          <w:rFonts w:ascii="Arial" w:hAnsi="Arial" w:cs="Arial"/>
          <w:sz w:val="20"/>
        </w:rPr>
        <w:t xml:space="preserve"> </w:t>
      </w:r>
      <w:r w:rsidR="00813426">
        <w:rPr>
          <w:rFonts w:ascii="Arial" w:hAnsi="Arial" w:cs="Arial"/>
          <w:sz w:val="20"/>
        </w:rPr>
        <w:t>A</w:t>
      </w:r>
      <w:r w:rsidRPr="00D40736">
        <w:rPr>
          <w:rFonts w:ascii="Arial" w:hAnsi="Arial" w:cs="Arial"/>
          <w:sz w:val="20"/>
        </w:rPr>
        <w:t xml:space="preserve"> Topten </w:t>
      </w:r>
      <w:r w:rsidR="00813426">
        <w:rPr>
          <w:rFonts w:ascii="Arial" w:hAnsi="Arial" w:cs="Arial"/>
          <w:sz w:val="20"/>
        </w:rPr>
        <w:t>vacuum cleaner with bag can save 55% of energy, one without bag 49%. Over th</w:t>
      </w:r>
      <w:r w:rsidRPr="00D40736">
        <w:rPr>
          <w:rFonts w:ascii="Arial" w:hAnsi="Arial" w:cs="Arial"/>
          <w:sz w:val="20"/>
        </w:rPr>
        <w:t>e product life time of 1</w:t>
      </w:r>
      <w:r w:rsidR="00456151">
        <w:rPr>
          <w:rFonts w:ascii="Arial" w:hAnsi="Arial" w:cs="Arial"/>
          <w:sz w:val="20"/>
        </w:rPr>
        <w:t>0</w:t>
      </w:r>
      <w:r w:rsidRPr="00D40736">
        <w:rPr>
          <w:rFonts w:ascii="Arial" w:hAnsi="Arial" w:cs="Arial"/>
          <w:sz w:val="20"/>
        </w:rPr>
        <w:t xml:space="preserve"> years the</w:t>
      </w:r>
      <w:r w:rsidR="00207440">
        <w:rPr>
          <w:rFonts w:ascii="Arial" w:hAnsi="Arial" w:cs="Arial"/>
          <w:sz w:val="20"/>
        </w:rPr>
        <w:t xml:space="preserve"> savings add up</w:t>
      </w:r>
      <w:r w:rsidR="00AE189D">
        <w:rPr>
          <w:rFonts w:ascii="Arial" w:hAnsi="Arial" w:cs="Arial"/>
          <w:sz w:val="20"/>
        </w:rPr>
        <w:t xml:space="preserve"> </w:t>
      </w:r>
      <w:r w:rsidRPr="00D40736">
        <w:rPr>
          <w:rFonts w:ascii="Arial" w:hAnsi="Arial" w:cs="Arial"/>
          <w:sz w:val="20"/>
        </w:rPr>
        <w:t xml:space="preserve">to </w:t>
      </w:r>
      <w:r w:rsidR="00AE189D">
        <w:rPr>
          <w:rFonts w:ascii="Arial" w:hAnsi="Arial" w:cs="Arial"/>
          <w:sz w:val="20"/>
        </w:rPr>
        <w:t>51</w:t>
      </w:r>
      <w:r w:rsidRPr="00D40736">
        <w:rPr>
          <w:rFonts w:ascii="Arial" w:hAnsi="Arial" w:cs="Arial"/>
          <w:sz w:val="20"/>
        </w:rPr>
        <w:t xml:space="preserve"> € per unit and </w:t>
      </w:r>
      <w:r w:rsidR="00D410AE">
        <w:rPr>
          <w:rFonts w:ascii="Arial" w:hAnsi="Arial" w:cs="Arial"/>
          <w:sz w:val="20"/>
        </w:rPr>
        <w:t>4</w:t>
      </w:r>
      <w:r w:rsidR="00AE189D">
        <w:rPr>
          <w:rFonts w:ascii="Arial" w:hAnsi="Arial" w:cs="Arial"/>
          <w:sz w:val="20"/>
        </w:rPr>
        <w:t>6</w:t>
      </w:r>
      <w:r w:rsidRPr="00D40736">
        <w:rPr>
          <w:rFonts w:ascii="Arial" w:hAnsi="Arial" w:cs="Arial"/>
          <w:sz w:val="20"/>
        </w:rPr>
        <w:t xml:space="preserve"> € per unit respectively.</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1441633E"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1F02142B"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C765DB">
        <w:rPr>
          <w:rFonts w:ascii="Arial" w:hAnsi="Arial" w:cs="Arial"/>
          <w:b/>
          <w:smallCaps/>
          <w:szCs w:val="24"/>
        </w:rPr>
        <w:t>vacuum cleaners</w:t>
      </w:r>
      <w:r w:rsidR="00E86CBB">
        <w:rPr>
          <w:rFonts w:ascii="Arial" w:hAnsi="Arial" w:cs="Arial"/>
          <w:b/>
          <w:smallCaps/>
          <w:szCs w:val="24"/>
        </w:rPr>
        <w:t xml:space="preserve">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05BEE657" w:rsidR="00E86CBB" w:rsidRPr="00152032" w:rsidRDefault="00152032" w:rsidP="00152032">
      <w:pPr>
        <w:pStyle w:val="ListParagraph"/>
        <w:numPr>
          <w:ilvl w:val="0"/>
          <w:numId w:val="18"/>
        </w:numPr>
        <w:spacing w:after="0" w:line="300" w:lineRule="exact"/>
        <w:jc w:val="both"/>
        <w:rPr>
          <w:rFonts w:ascii="Arial" w:hAnsi="Arial" w:cs="Arial"/>
          <w:b/>
          <w:sz w:val="20"/>
        </w:rPr>
      </w:pPr>
      <w:r w:rsidRPr="00152032">
        <w:rPr>
          <w:rFonts w:ascii="Arial" w:hAnsi="Arial" w:cs="Arial"/>
          <w:b/>
          <w:sz w:val="20"/>
        </w:rPr>
        <w:t>Power</w:t>
      </w:r>
    </w:p>
    <w:p w14:paraId="386E34D6" w14:textId="4240F4A4" w:rsidR="00152032" w:rsidRPr="00152032" w:rsidRDefault="0040410E" w:rsidP="0040410E">
      <w:pPr>
        <w:textAlignment w:val="center"/>
        <w:rPr>
          <w:rFonts w:ascii="Arial" w:hAnsi="Arial" w:cs="Arial"/>
          <w:sz w:val="20"/>
        </w:rPr>
      </w:pPr>
      <w:r w:rsidRPr="0040410E">
        <w:rPr>
          <w:rFonts w:ascii="Arial" w:hAnsi="Arial" w:cs="Arial"/>
          <w:sz w:val="20"/>
        </w:rPr>
        <w:t>Maximum rated Power: 650 Watt</w:t>
      </w:r>
    </w:p>
    <w:p w14:paraId="050FDD62" w14:textId="6D1FBD24" w:rsidR="00F822B4" w:rsidRDefault="00F822B4" w:rsidP="0048787D">
      <w:pPr>
        <w:spacing w:after="0" w:line="300" w:lineRule="exact"/>
        <w:jc w:val="both"/>
        <w:rPr>
          <w:rFonts w:ascii="Arial" w:hAnsi="Arial" w:cs="Arial"/>
          <w:bCs/>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355CD826"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Bidders must supply the</w:t>
      </w:r>
      <w:r w:rsidR="00886CEB">
        <w:rPr>
          <w:rFonts w:ascii="Arial" w:hAnsi="Arial" w:cs="Arial"/>
          <w:snapToGrid w:val="0"/>
          <w:color w:val="000000"/>
          <w:sz w:val="20"/>
          <w:lang w:eastAsia="en-US"/>
        </w:rPr>
        <w:t xml:space="preserve"> </w:t>
      </w:r>
      <w:r w:rsidR="008A2106">
        <w:rPr>
          <w:rFonts w:ascii="Arial" w:hAnsi="Arial" w:cs="Arial"/>
          <w:snapToGrid w:val="0"/>
          <w:color w:val="000000"/>
          <w:sz w:val="20"/>
          <w:lang w:eastAsia="en-US"/>
        </w:rPr>
        <w:t xml:space="preserve">technical </w:t>
      </w:r>
      <w:r w:rsidR="007D54D2">
        <w:rPr>
          <w:rFonts w:ascii="Arial" w:hAnsi="Arial" w:cs="Arial"/>
          <w:snapToGrid w:val="0"/>
          <w:color w:val="000000"/>
          <w:sz w:val="20"/>
          <w:lang w:eastAsia="en-US"/>
        </w:rPr>
        <w:t>data sheet with information on maximum power input</w:t>
      </w:r>
      <w:r w:rsidRPr="0094762B">
        <w:rPr>
          <w:rFonts w:ascii="Arial" w:hAnsi="Arial" w:cs="Arial"/>
          <w:snapToGrid w:val="0"/>
          <w:color w:val="000000"/>
          <w:sz w:val="20"/>
          <w:lang w:eastAsia="en-US"/>
        </w:rPr>
        <w:t>.</w:t>
      </w:r>
    </w:p>
    <w:p w14:paraId="6FF72EFF" w14:textId="26C90D61" w:rsidR="00A1684A" w:rsidRDefault="00A1684A">
      <w:pPr>
        <w:spacing w:after="0"/>
        <w:rPr>
          <w:rFonts w:ascii="Arial" w:hAnsi="Arial" w:cs="Arial"/>
          <w:smallCaps/>
          <w:szCs w:val="24"/>
          <w:u w:val="single"/>
        </w:rPr>
      </w:pPr>
      <w:r>
        <w:rPr>
          <w:rFonts w:ascii="Arial" w:hAnsi="Arial" w:cs="Arial"/>
          <w:smallCaps/>
          <w:szCs w:val="24"/>
          <w:u w:val="single"/>
        </w:rPr>
        <w:br w:type="page"/>
      </w:r>
    </w:p>
    <w:p w14:paraId="0AF4B925" w14:textId="7FA3AB89" w:rsidR="00566E91" w:rsidRPr="00B67515" w:rsidRDefault="003723D2" w:rsidP="00566E91">
      <w:pPr>
        <w:spacing w:after="240" w:line="300" w:lineRule="exact"/>
        <w:rPr>
          <w:rFonts w:ascii="Arial" w:hAnsi="Arial" w:cs="Arial"/>
          <w:smallCaps/>
          <w:szCs w:val="24"/>
          <w:u w:val="single"/>
        </w:rPr>
      </w:pPr>
      <w:r>
        <w:rPr>
          <w:rFonts w:ascii="Arial" w:hAnsi="Arial" w:cs="Arial"/>
          <w:smallCaps/>
          <w:szCs w:val="24"/>
          <w:u w:val="single"/>
        </w:rPr>
        <w:lastRenderedPageBreak/>
        <w:t xml:space="preserve">Further </w:t>
      </w:r>
      <w:r w:rsidR="00C75183">
        <w:rPr>
          <w:rFonts w:ascii="Arial" w:hAnsi="Arial" w:cs="Arial"/>
          <w:smallCaps/>
          <w:szCs w:val="24"/>
          <w:u w:val="single"/>
        </w:rPr>
        <w:t>Remarks</w:t>
      </w:r>
    </w:p>
    <w:p w14:paraId="3A19068A" w14:textId="1DBDC413"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To increase savings and reduce environmental impact, procurers should evaluate life cycle costs when tendering for</w:t>
      </w:r>
      <w:r w:rsidR="00A60DB2">
        <w:rPr>
          <w:rFonts w:ascii="Arial" w:hAnsi="Arial" w:cs="Arial"/>
          <w:sz w:val="20"/>
        </w:rPr>
        <w:t xml:space="preserve"> vacuum cleaners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1EE9BB68" w:rsidR="006230A3" w:rsidRPr="0084624B" w:rsidRDefault="006230A3" w:rsidP="00FA3054">
      <w:pPr>
        <w:pStyle w:val="Caption"/>
        <w:keepNext/>
        <w:jc w:val="center"/>
      </w:pPr>
      <w:r w:rsidRPr="0084624B">
        <w:t xml:space="preserve">Table </w:t>
      </w:r>
      <w:r w:rsidR="00B8577A" w:rsidRPr="0084624B">
        <w:fldChar w:fldCharType="begin"/>
      </w:r>
      <w:r w:rsidR="00B8577A" w:rsidRPr="0084624B">
        <w:instrText xml:space="preserve"> SEQ Table \* ARABIC </w:instrText>
      </w:r>
      <w:r w:rsidR="00B8577A" w:rsidRPr="0084624B">
        <w:fldChar w:fldCharType="separate"/>
      </w:r>
      <w:r w:rsidR="00FE53E6">
        <w:rPr>
          <w:noProof/>
        </w:rPr>
        <w:t>1</w:t>
      </w:r>
      <w:r w:rsidR="00B8577A" w:rsidRPr="0084624B">
        <w:fldChar w:fldCharType="end"/>
      </w:r>
      <w:r w:rsidRPr="0084624B">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1672AF">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4D6E916E" w:rsidR="005413AE" w:rsidRPr="00B67515" w:rsidRDefault="006F55AA" w:rsidP="001672AF">
            <w:pPr>
              <w:spacing w:after="0" w:line="280" w:lineRule="exact"/>
              <w:rPr>
                <w:rFonts w:ascii="Arial" w:hAnsi="Arial" w:cs="Arial"/>
                <w:sz w:val="20"/>
              </w:rPr>
            </w:pPr>
            <w:r>
              <w:rPr>
                <w:rFonts w:ascii="Arial" w:hAnsi="Arial" w:cs="Arial"/>
                <w:sz w:val="20"/>
              </w:rPr>
              <w:t>Power input (</w:t>
            </w:r>
            <w:r w:rsidR="000675CB">
              <w:rPr>
                <w:rFonts w:ascii="Arial" w:hAnsi="Arial" w:cs="Arial"/>
                <w:sz w:val="20"/>
              </w:rPr>
              <w:t>k</w:t>
            </w:r>
            <w:r>
              <w:rPr>
                <w:rFonts w:ascii="Arial" w:hAnsi="Arial" w:cs="Arial"/>
                <w:sz w:val="20"/>
              </w:rPr>
              <w:t>W)</w:t>
            </w:r>
            <w:r w:rsidR="008D6DBC">
              <w:rPr>
                <w:rFonts w:ascii="Arial" w:hAnsi="Arial" w:cs="Arial"/>
                <w:sz w:val="20"/>
              </w:rPr>
              <w:t xml:space="preserve">, </w:t>
            </w:r>
            <w:r>
              <w:rPr>
                <w:rFonts w:ascii="Arial" w:hAnsi="Arial" w:cs="Arial"/>
                <w:sz w:val="20"/>
              </w:rPr>
              <w:t xml:space="preserve">x hours of use per year </w:t>
            </w:r>
            <w:r w:rsidR="008D6DBC">
              <w:rPr>
                <w:rFonts w:ascii="Arial" w:hAnsi="Arial" w:cs="Arial"/>
                <w:sz w:val="20"/>
              </w:rPr>
              <w:t xml:space="preserve">x 10 years, </w:t>
            </w:r>
            <w:r w:rsidR="00583B50" w:rsidRPr="00583B50">
              <w:rPr>
                <w:rFonts w:ascii="Arial" w:hAnsi="Arial" w:cs="Arial"/>
                <w:sz w:val="20"/>
              </w:rPr>
              <w:t>x nº units</w:t>
            </w:r>
          </w:p>
        </w:tc>
        <w:tc>
          <w:tcPr>
            <w:tcW w:w="2665" w:type="dxa"/>
            <w:vAlign w:val="center"/>
          </w:tcPr>
          <w:p w14:paraId="5B995353" w14:textId="4454B4AF" w:rsidR="00DC4837" w:rsidRPr="00B67515" w:rsidRDefault="001F2B86" w:rsidP="005867EF">
            <w:pPr>
              <w:spacing w:after="0" w:line="280" w:lineRule="exact"/>
              <w:jc w:val="center"/>
              <w:rPr>
                <w:rFonts w:ascii="Arial" w:hAnsi="Arial" w:cs="Arial"/>
                <w:sz w:val="20"/>
              </w:rPr>
            </w:pPr>
            <w:r>
              <w:rPr>
                <w:rFonts w:ascii="Arial" w:hAnsi="Arial" w:cs="Arial"/>
                <w:sz w:val="20"/>
              </w:rPr>
              <w:t>Electricity cost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313D98B7" w14:textId="28C8CDFE" w:rsidR="001F2B86" w:rsidRPr="00825133" w:rsidRDefault="001F2B86" w:rsidP="004B2A23">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r w:rsidR="00583B50">
        <w:rPr>
          <w:rFonts w:ascii="Arial" w:hAnsi="Arial" w:cs="Arial"/>
          <w:sz w:val="16"/>
          <w:szCs w:val="16"/>
          <w:lang w:val="en-US"/>
        </w:rPr>
        <w:t xml:space="preserve"> </w:t>
      </w:r>
      <w:r w:rsidR="00583B50" w:rsidRPr="00825133">
        <w:rPr>
          <w:rFonts w:ascii="Arial" w:hAnsi="Arial" w:cs="Arial"/>
          <w:sz w:val="16"/>
          <w:szCs w:val="16"/>
          <w:lang w:val="en-US"/>
        </w:rPr>
        <w:t xml:space="preserve">The variables for the costs calculation during the product life time can be stated by the procurer (according to the </w:t>
      </w:r>
      <w:r w:rsidR="00583B50">
        <w:rPr>
          <w:rFonts w:ascii="Arial" w:hAnsi="Arial" w:cs="Arial"/>
          <w:sz w:val="16"/>
          <w:szCs w:val="16"/>
          <w:lang w:val="en-US"/>
        </w:rPr>
        <w:t xml:space="preserve">equipment </w:t>
      </w:r>
      <w:r w:rsidR="00583B50" w:rsidRPr="00825133">
        <w:rPr>
          <w:rFonts w:ascii="Arial" w:hAnsi="Arial" w:cs="Arial"/>
          <w:sz w:val="16"/>
          <w:szCs w:val="16"/>
          <w:lang w:val="en-US"/>
        </w:rPr>
        <w:t xml:space="preserve">replacement rate, </w:t>
      </w:r>
      <w:r w:rsidR="00583B50">
        <w:rPr>
          <w:rFonts w:ascii="Arial" w:hAnsi="Arial" w:cs="Arial"/>
          <w:sz w:val="16"/>
          <w:szCs w:val="16"/>
          <w:lang w:val="en-US"/>
        </w:rPr>
        <w:t>its</w:t>
      </w:r>
      <w:r w:rsidR="00583B50" w:rsidRPr="00825133">
        <w:rPr>
          <w:rFonts w:ascii="Arial" w:hAnsi="Arial" w:cs="Arial"/>
          <w:sz w:val="16"/>
          <w:szCs w:val="16"/>
          <w:lang w:val="en-US"/>
        </w:rPr>
        <w:t xml:space="preserve"> daily </w:t>
      </w:r>
      <w:r w:rsidR="00583B50">
        <w:rPr>
          <w:rFonts w:ascii="Arial" w:hAnsi="Arial" w:cs="Arial"/>
          <w:sz w:val="16"/>
          <w:szCs w:val="16"/>
          <w:lang w:val="en-US"/>
        </w:rPr>
        <w:t xml:space="preserve">and annual </w:t>
      </w:r>
      <w:r w:rsidR="00583B50" w:rsidRPr="00825133">
        <w:rPr>
          <w:rFonts w:ascii="Arial" w:hAnsi="Arial" w:cs="Arial"/>
          <w:sz w:val="16"/>
          <w:szCs w:val="16"/>
          <w:lang w:val="en-US"/>
        </w:rPr>
        <w:t>use, etc.).</w:t>
      </w:r>
    </w:p>
    <w:p w14:paraId="23187F99" w14:textId="66D76D72" w:rsidR="001F2B86" w:rsidRDefault="001F2B86" w:rsidP="007B3559">
      <w:pPr>
        <w:spacing w:after="0"/>
        <w:jc w:val="both"/>
        <w:rPr>
          <w:rFonts w:ascii="Arial" w:hAnsi="Arial" w:cs="Arial"/>
          <w:sz w:val="16"/>
          <w:szCs w:val="16"/>
          <w:lang w:val="en-US"/>
        </w:rPr>
      </w:pPr>
      <w:r w:rsidRPr="00825133">
        <w:rPr>
          <w:rFonts w:ascii="Arial" w:hAnsi="Arial" w:cs="Arial"/>
          <w:sz w:val="16"/>
          <w:szCs w:val="16"/>
          <w:lang w:val="en-US"/>
        </w:rPr>
        <w:t>** This figure is just an example. The procurer can use the average electricity price paid during the last 2 or 3 years, and also include subscription fee and taxes.</w:t>
      </w: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7"/>
          <w:footerReference w:type="default" r:id="rId18"/>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9"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0"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3"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FA75" w14:textId="77777777" w:rsidR="00D06A06" w:rsidRDefault="00D06A06">
      <w:pPr>
        <w:spacing w:after="0"/>
      </w:pPr>
      <w:r>
        <w:separator/>
      </w:r>
    </w:p>
  </w:endnote>
  <w:endnote w:type="continuationSeparator" w:id="0">
    <w:p w14:paraId="0501FED4" w14:textId="77777777" w:rsidR="00D06A06" w:rsidRDefault="00D06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0DC5" w14:textId="77777777" w:rsidR="00D06A06" w:rsidRDefault="00D06A06">
      <w:pPr>
        <w:spacing w:after="0"/>
      </w:pPr>
      <w:r>
        <w:separator/>
      </w:r>
    </w:p>
  </w:footnote>
  <w:footnote w:type="continuationSeparator" w:id="0">
    <w:p w14:paraId="0A8DF0C9" w14:textId="77777777" w:rsidR="00D06A06" w:rsidRDefault="00D06A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D06A06">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0465B"/>
    <w:multiLevelType w:val="hybridMultilevel"/>
    <w:tmpl w:val="DE54E570"/>
    <w:lvl w:ilvl="0" w:tplc="26D41BE4">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49656857"/>
    <w:multiLevelType w:val="hybridMultilevel"/>
    <w:tmpl w:val="3B8A9BFA"/>
    <w:lvl w:ilvl="0" w:tplc="26D41BE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706441"/>
    <w:multiLevelType w:val="multilevel"/>
    <w:tmpl w:val="DA4E8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971E9F"/>
    <w:multiLevelType w:val="hybridMultilevel"/>
    <w:tmpl w:val="F0E888D2"/>
    <w:lvl w:ilvl="0" w:tplc="5B0893D8">
      <w:start w:val="1"/>
      <w:numFmt w:val="decimal"/>
      <w:lvlText w:val="%1."/>
      <w:lvlJc w:val="left"/>
      <w:pPr>
        <w:ind w:left="360" w:hanging="360"/>
      </w:pPr>
      <w:rPr>
        <w:rFonts w:hint="default"/>
        <w:b/>
        <w:bCs w:val="0"/>
      </w:rPr>
    </w:lvl>
    <w:lvl w:ilvl="1" w:tplc="26D41BE4">
      <w:start w:val="1"/>
      <w:numFmt w:val="bullet"/>
      <w:lvlText w:val=""/>
      <w:lvlJc w:val="left"/>
      <w:pPr>
        <w:ind w:left="1080" w:hanging="360"/>
      </w:pPr>
      <w:rPr>
        <w:rFonts w:ascii="Wingdings" w:hAnsi="Wingdings" w:hint="default"/>
      </w:rPr>
    </w:lvl>
    <w:lvl w:ilvl="2" w:tplc="26D41BE4">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14"/>
  </w:num>
  <w:num w:numId="3">
    <w:abstractNumId w:val="14"/>
  </w:num>
  <w:num w:numId="4">
    <w:abstractNumId w:val="14"/>
  </w:num>
  <w:num w:numId="5">
    <w:abstractNumId w:val="1"/>
  </w:num>
  <w:num w:numId="6">
    <w:abstractNumId w:val="16"/>
  </w:num>
  <w:num w:numId="7">
    <w:abstractNumId w:val="3"/>
  </w:num>
  <w:num w:numId="8">
    <w:abstractNumId w:val="0"/>
  </w:num>
  <w:num w:numId="9">
    <w:abstractNumId w:val="15"/>
  </w:num>
  <w:num w:numId="10">
    <w:abstractNumId w:val="2"/>
  </w:num>
  <w:num w:numId="11">
    <w:abstractNumId w:val="7"/>
  </w:num>
  <w:num w:numId="12">
    <w:abstractNumId w:val="6"/>
  </w:num>
  <w:num w:numId="13">
    <w:abstractNumId w:val="9"/>
  </w:num>
  <w:num w:numId="14">
    <w:abstractNumId w:val="5"/>
  </w:num>
  <w:num w:numId="15">
    <w:abstractNumId w:val="8"/>
  </w:num>
  <w:num w:numId="16">
    <w:abstractNumId w:val="4"/>
  </w:num>
  <w:num w:numId="17">
    <w:abstractNumId w:val="10"/>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2008"/>
    <w:rsid w:val="00012955"/>
    <w:rsid w:val="000167CF"/>
    <w:rsid w:val="0001783D"/>
    <w:rsid w:val="0002493F"/>
    <w:rsid w:val="000278BB"/>
    <w:rsid w:val="00027F17"/>
    <w:rsid w:val="00034A0B"/>
    <w:rsid w:val="00034F6C"/>
    <w:rsid w:val="000368A7"/>
    <w:rsid w:val="00041587"/>
    <w:rsid w:val="00045D50"/>
    <w:rsid w:val="00046431"/>
    <w:rsid w:val="00047E04"/>
    <w:rsid w:val="000519F2"/>
    <w:rsid w:val="0005209D"/>
    <w:rsid w:val="000525D3"/>
    <w:rsid w:val="000675CB"/>
    <w:rsid w:val="00070C1A"/>
    <w:rsid w:val="000722B1"/>
    <w:rsid w:val="000758FE"/>
    <w:rsid w:val="00081935"/>
    <w:rsid w:val="00081BC8"/>
    <w:rsid w:val="00095750"/>
    <w:rsid w:val="00095A47"/>
    <w:rsid w:val="000A4B81"/>
    <w:rsid w:val="000C3138"/>
    <w:rsid w:val="000C48B5"/>
    <w:rsid w:val="000C7C97"/>
    <w:rsid w:val="000D0036"/>
    <w:rsid w:val="000D55F5"/>
    <w:rsid w:val="000E192C"/>
    <w:rsid w:val="000E3428"/>
    <w:rsid w:val="000E3772"/>
    <w:rsid w:val="000E5407"/>
    <w:rsid w:val="000E551F"/>
    <w:rsid w:val="000E5A36"/>
    <w:rsid w:val="000E5EAC"/>
    <w:rsid w:val="000F0E64"/>
    <w:rsid w:val="000F179D"/>
    <w:rsid w:val="000F5F2E"/>
    <w:rsid w:val="000F6E5E"/>
    <w:rsid w:val="000F7498"/>
    <w:rsid w:val="00100AD4"/>
    <w:rsid w:val="00103C24"/>
    <w:rsid w:val="0011618D"/>
    <w:rsid w:val="00117B94"/>
    <w:rsid w:val="00122FBD"/>
    <w:rsid w:val="0013253C"/>
    <w:rsid w:val="00135C68"/>
    <w:rsid w:val="0013640E"/>
    <w:rsid w:val="00137D29"/>
    <w:rsid w:val="00143F91"/>
    <w:rsid w:val="00145F02"/>
    <w:rsid w:val="00150661"/>
    <w:rsid w:val="0015113E"/>
    <w:rsid w:val="00151959"/>
    <w:rsid w:val="00152032"/>
    <w:rsid w:val="0015485B"/>
    <w:rsid w:val="00154D6C"/>
    <w:rsid w:val="00160F9B"/>
    <w:rsid w:val="001672AF"/>
    <w:rsid w:val="00170030"/>
    <w:rsid w:val="00170359"/>
    <w:rsid w:val="00171C16"/>
    <w:rsid w:val="00173AA2"/>
    <w:rsid w:val="00176267"/>
    <w:rsid w:val="001778A0"/>
    <w:rsid w:val="00181EAE"/>
    <w:rsid w:val="001925CF"/>
    <w:rsid w:val="00194D9E"/>
    <w:rsid w:val="00197A0F"/>
    <w:rsid w:val="001A2416"/>
    <w:rsid w:val="001A3459"/>
    <w:rsid w:val="001A4A2E"/>
    <w:rsid w:val="001A510B"/>
    <w:rsid w:val="001B7410"/>
    <w:rsid w:val="001B7541"/>
    <w:rsid w:val="001C707A"/>
    <w:rsid w:val="001C7897"/>
    <w:rsid w:val="001C79DD"/>
    <w:rsid w:val="001D1304"/>
    <w:rsid w:val="001E0E74"/>
    <w:rsid w:val="001E688B"/>
    <w:rsid w:val="001F2831"/>
    <w:rsid w:val="001F2B86"/>
    <w:rsid w:val="001F2D7D"/>
    <w:rsid w:val="001F3789"/>
    <w:rsid w:val="001F5DFE"/>
    <w:rsid w:val="00201227"/>
    <w:rsid w:val="00201D53"/>
    <w:rsid w:val="0020470A"/>
    <w:rsid w:val="0020481E"/>
    <w:rsid w:val="00207440"/>
    <w:rsid w:val="002076E6"/>
    <w:rsid w:val="002078FF"/>
    <w:rsid w:val="00210518"/>
    <w:rsid w:val="0021557D"/>
    <w:rsid w:val="00215F34"/>
    <w:rsid w:val="00223E3E"/>
    <w:rsid w:val="00232C87"/>
    <w:rsid w:val="00233F5D"/>
    <w:rsid w:val="0023401A"/>
    <w:rsid w:val="00237A37"/>
    <w:rsid w:val="002419CF"/>
    <w:rsid w:val="00241E91"/>
    <w:rsid w:val="00244AEF"/>
    <w:rsid w:val="002461E0"/>
    <w:rsid w:val="002533CD"/>
    <w:rsid w:val="00255ED4"/>
    <w:rsid w:val="002571A2"/>
    <w:rsid w:val="00262870"/>
    <w:rsid w:val="002648AF"/>
    <w:rsid w:val="00267108"/>
    <w:rsid w:val="00270056"/>
    <w:rsid w:val="00270BFA"/>
    <w:rsid w:val="0027120F"/>
    <w:rsid w:val="00273333"/>
    <w:rsid w:val="00273A4A"/>
    <w:rsid w:val="00275510"/>
    <w:rsid w:val="002767E4"/>
    <w:rsid w:val="00276C0A"/>
    <w:rsid w:val="0028025C"/>
    <w:rsid w:val="002830DE"/>
    <w:rsid w:val="00285676"/>
    <w:rsid w:val="00287D52"/>
    <w:rsid w:val="00296A05"/>
    <w:rsid w:val="002A7DA0"/>
    <w:rsid w:val="002B0D8E"/>
    <w:rsid w:val="002B115E"/>
    <w:rsid w:val="002C1B06"/>
    <w:rsid w:val="002C341E"/>
    <w:rsid w:val="002C5499"/>
    <w:rsid w:val="002C645E"/>
    <w:rsid w:val="002C696C"/>
    <w:rsid w:val="002D4D72"/>
    <w:rsid w:val="002D4F6A"/>
    <w:rsid w:val="002D57C3"/>
    <w:rsid w:val="002D7CB8"/>
    <w:rsid w:val="002E2624"/>
    <w:rsid w:val="002E4C70"/>
    <w:rsid w:val="002E6761"/>
    <w:rsid w:val="002F1365"/>
    <w:rsid w:val="00300F6C"/>
    <w:rsid w:val="00303312"/>
    <w:rsid w:val="003042AC"/>
    <w:rsid w:val="003107EA"/>
    <w:rsid w:val="003139F5"/>
    <w:rsid w:val="00313A29"/>
    <w:rsid w:val="00315799"/>
    <w:rsid w:val="0031741E"/>
    <w:rsid w:val="003205CB"/>
    <w:rsid w:val="00320B43"/>
    <w:rsid w:val="0032664B"/>
    <w:rsid w:val="00334171"/>
    <w:rsid w:val="003379B2"/>
    <w:rsid w:val="00340008"/>
    <w:rsid w:val="0034080D"/>
    <w:rsid w:val="00346C72"/>
    <w:rsid w:val="003515CE"/>
    <w:rsid w:val="00351E6E"/>
    <w:rsid w:val="00356A75"/>
    <w:rsid w:val="00357EAB"/>
    <w:rsid w:val="00363E71"/>
    <w:rsid w:val="0036447E"/>
    <w:rsid w:val="003655EC"/>
    <w:rsid w:val="00370568"/>
    <w:rsid w:val="003723D2"/>
    <w:rsid w:val="00372D0A"/>
    <w:rsid w:val="00373D1D"/>
    <w:rsid w:val="00377045"/>
    <w:rsid w:val="0037762B"/>
    <w:rsid w:val="00381E01"/>
    <w:rsid w:val="00381E56"/>
    <w:rsid w:val="003833CF"/>
    <w:rsid w:val="0038382C"/>
    <w:rsid w:val="0038718D"/>
    <w:rsid w:val="00391DBF"/>
    <w:rsid w:val="003974D4"/>
    <w:rsid w:val="00397CA1"/>
    <w:rsid w:val="003A5677"/>
    <w:rsid w:val="003A60ED"/>
    <w:rsid w:val="003A7991"/>
    <w:rsid w:val="003B0A85"/>
    <w:rsid w:val="003B4A54"/>
    <w:rsid w:val="003B7042"/>
    <w:rsid w:val="003D42C7"/>
    <w:rsid w:val="003D6D66"/>
    <w:rsid w:val="003E1044"/>
    <w:rsid w:val="003E6E97"/>
    <w:rsid w:val="003E769A"/>
    <w:rsid w:val="003F142C"/>
    <w:rsid w:val="003F1A68"/>
    <w:rsid w:val="003F6730"/>
    <w:rsid w:val="00400E12"/>
    <w:rsid w:val="00402C19"/>
    <w:rsid w:val="0040410E"/>
    <w:rsid w:val="00406E33"/>
    <w:rsid w:val="00414CEA"/>
    <w:rsid w:val="0041654B"/>
    <w:rsid w:val="00422EEC"/>
    <w:rsid w:val="00430056"/>
    <w:rsid w:val="0043007D"/>
    <w:rsid w:val="00433CD5"/>
    <w:rsid w:val="004362B6"/>
    <w:rsid w:val="00436772"/>
    <w:rsid w:val="00437453"/>
    <w:rsid w:val="00437B5C"/>
    <w:rsid w:val="00442F8B"/>
    <w:rsid w:val="004434D8"/>
    <w:rsid w:val="00445E4A"/>
    <w:rsid w:val="0045031B"/>
    <w:rsid w:val="0045048A"/>
    <w:rsid w:val="00456151"/>
    <w:rsid w:val="00460EAE"/>
    <w:rsid w:val="00462B70"/>
    <w:rsid w:val="00463778"/>
    <w:rsid w:val="00464A67"/>
    <w:rsid w:val="00477685"/>
    <w:rsid w:val="00477AE1"/>
    <w:rsid w:val="00483F19"/>
    <w:rsid w:val="00485EB2"/>
    <w:rsid w:val="0048787D"/>
    <w:rsid w:val="004919E7"/>
    <w:rsid w:val="004A114E"/>
    <w:rsid w:val="004A3C1E"/>
    <w:rsid w:val="004A57F0"/>
    <w:rsid w:val="004A71E3"/>
    <w:rsid w:val="004B2938"/>
    <w:rsid w:val="004B2A23"/>
    <w:rsid w:val="004B490C"/>
    <w:rsid w:val="004C04AA"/>
    <w:rsid w:val="004D16D4"/>
    <w:rsid w:val="004D16FC"/>
    <w:rsid w:val="004D2DA1"/>
    <w:rsid w:val="004D2DFC"/>
    <w:rsid w:val="004E3460"/>
    <w:rsid w:val="004E5468"/>
    <w:rsid w:val="004E74D3"/>
    <w:rsid w:val="004E766C"/>
    <w:rsid w:val="004F1663"/>
    <w:rsid w:val="004F2665"/>
    <w:rsid w:val="00502885"/>
    <w:rsid w:val="00504117"/>
    <w:rsid w:val="00506868"/>
    <w:rsid w:val="00507612"/>
    <w:rsid w:val="00514613"/>
    <w:rsid w:val="00514626"/>
    <w:rsid w:val="005206FD"/>
    <w:rsid w:val="00521E6B"/>
    <w:rsid w:val="00525472"/>
    <w:rsid w:val="0053192B"/>
    <w:rsid w:val="00531B04"/>
    <w:rsid w:val="00533416"/>
    <w:rsid w:val="00535FBF"/>
    <w:rsid w:val="0053672B"/>
    <w:rsid w:val="00540F59"/>
    <w:rsid w:val="005413AE"/>
    <w:rsid w:val="00541E68"/>
    <w:rsid w:val="00544871"/>
    <w:rsid w:val="00544A57"/>
    <w:rsid w:val="005473B9"/>
    <w:rsid w:val="00552864"/>
    <w:rsid w:val="00552B89"/>
    <w:rsid w:val="0055335C"/>
    <w:rsid w:val="005539CB"/>
    <w:rsid w:val="00553DCB"/>
    <w:rsid w:val="005552AA"/>
    <w:rsid w:val="00555A5F"/>
    <w:rsid w:val="00555A9E"/>
    <w:rsid w:val="00556F43"/>
    <w:rsid w:val="00564882"/>
    <w:rsid w:val="00566E91"/>
    <w:rsid w:val="00567065"/>
    <w:rsid w:val="005737A1"/>
    <w:rsid w:val="00575E0D"/>
    <w:rsid w:val="00583B50"/>
    <w:rsid w:val="00584399"/>
    <w:rsid w:val="005867EF"/>
    <w:rsid w:val="005944B8"/>
    <w:rsid w:val="0059645F"/>
    <w:rsid w:val="005A5E0C"/>
    <w:rsid w:val="005B0C7D"/>
    <w:rsid w:val="005B3240"/>
    <w:rsid w:val="005B39C0"/>
    <w:rsid w:val="005C19C7"/>
    <w:rsid w:val="005C411B"/>
    <w:rsid w:val="005C5621"/>
    <w:rsid w:val="005D0929"/>
    <w:rsid w:val="005D12B7"/>
    <w:rsid w:val="005D2D5C"/>
    <w:rsid w:val="005D39E9"/>
    <w:rsid w:val="005F4F10"/>
    <w:rsid w:val="0060008E"/>
    <w:rsid w:val="006020A0"/>
    <w:rsid w:val="00605D16"/>
    <w:rsid w:val="00605EB8"/>
    <w:rsid w:val="00607CC4"/>
    <w:rsid w:val="0061023C"/>
    <w:rsid w:val="00612CBD"/>
    <w:rsid w:val="00614010"/>
    <w:rsid w:val="006230A3"/>
    <w:rsid w:val="0063169F"/>
    <w:rsid w:val="006337F6"/>
    <w:rsid w:val="00640B40"/>
    <w:rsid w:val="00641B57"/>
    <w:rsid w:val="006429B4"/>
    <w:rsid w:val="00644693"/>
    <w:rsid w:val="00646B71"/>
    <w:rsid w:val="006512AC"/>
    <w:rsid w:val="006532C6"/>
    <w:rsid w:val="00655B69"/>
    <w:rsid w:val="0066123C"/>
    <w:rsid w:val="00667357"/>
    <w:rsid w:val="00667930"/>
    <w:rsid w:val="00673EB3"/>
    <w:rsid w:val="00674287"/>
    <w:rsid w:val="0067543E"/>
    <w:rsid w:val="0067768D"/>
    <w:rsid w:val="00677F62"/>
    <w:rsid w:val="00682404"/>
    <w:rsid w:val="0068378A"/>
    <w:rsid w:val="00683D09"/>
    <w:rsid w:val="0068440C"/>
    <w:rsid w:val="00692B59"/>
    <w:rsid w:val="006A283F"/>
    <w:rsid w:val="006A75AB"/>
    <w:rsid w:val="006B77EF"/>
    <w:rsid w:val="006B787A"/>
    <w:rsid w:val="006C066C"/>
    <w:rsid w:val="006C0A24"/>
    <w:rsid w:val="006C102A"/>
    <w:rsid w:val="006C5FC9"/>
    <w:rsid w:val="006C6FBC"/>
    <w:rsid w:val="006C715F"/>
    <w:rsid w:val="006C7C69"/>
    <w:rsid w:val="006D2CDB"/>
    <w:rsid w:val="006D3569"/>
    <w:rsid w:val="006D4EBE"/>
    <w:rsid w:val="006D7495"/>
    <w:rsid w:val="006E37B6"/>
    <w:rsid w:val="006E4CD8"/>
    <w:rsid w:val="006E581B"/>
    <w:rsid w:val="006E70B8"/>
    <w:rsid w:val="006F412B"/>
    <w:rsid w:val="006F55AA"/>
    <w:rsid w:val="006F72BF"/>
    <w:rsid w:val="00710461"/>
    <w:rsid w:val="00711CCC"/>
    <w:rsid w:val="00711E54"/>
    <w:rsid w:val="0071352B"/>
    <w:rsid w:val="00716384"/>
    <w:rsid w:val="00717A5F"/>
    <w:rsid w:val="00720E1D"/>
    <w:rsid w:val="007240DF"/>
    <w:rsid w:val="00725ED7"/>
    <w:rsid w:val="00726FB2"/>
    <w:rsid w:val="00727187"/>
    <w:rsid w:val="007328B8"/>
    <w:rsid w:val="00741AAC"/>
    <w:rsid w:val="007459DB"/>
    <w:rsid w:val="0074654B"/>
    <w:rsid w:val="007467E2"/>
    <w:rsid w:val="00746D00"/>
    <w:rsid w:val="00746EF1"/>
    <w:rsid w:val="00750174"/>
    <w:rsid w:val="00750C2D"/>
    <w:rsid w:val="00752616"/>
    <w:rsid w:val="00764F94"/>
    <w:rsid w:val="0076610A"/>
    <w:rsid w:val="00766E90"/>
    <w:rsid w:val="007711DE"/>
    <w:rsid w:val="0077158F"/>
    <w:rsid w:val="0077203D"/>
    <w:rsid w:val="00772A8C"/>
    <w:rsid w:val="00775972"/>
    <w:rsid w:val="00775FFC"/>
    <w:rsid w:val="007806F8"/>
    <w:rsid w:val="00781242"/>
    <w:rsid w:val="0078736A"/>
    <w:rsid w:val="00787F36"/>
    <w:rsid w:val="00791461"/>
    <w:rsid w:val="0079150E"/>
    <w:rsid w:val="0079485E"/>
    <w:rsid w:val="0079734D"/>
    <w:rsid w:val="0079769E"/>
    <w:rsid w:val="007A2519"/>
    <w:rsid w:val="007A2EE1"/>
    <w:rsid w:val="007A385A"/>
    <w:rsid w:val="007A3B9A"/>
    <w:rsid w:val="007A4EF7"/>
    <w:rsid w:val="007B2196"/>
    <w:rsid w:val="007B3559"/>
    <w:rsid w:val="007B45AF"/>
    <w:rsid w:val="007B50C5"/>
    <w:rsid w:val="007B5A1B"/>
    <w:rsid w:val="007C0B3C"/>
    <w:rsid w:val="007D54D2"/>
    <w:rsid w:val="007D55E1"/>
    <w:rsid w:val="007D6A7F"/>
    <w:rsid w:val="007D774C"/>
    <w:rsid w:val="007D7920"/>
    <w:rsid w:val="007E053E"/>
    <w:rsid w:val="007E698D"/>
    <w:rsid w:val="007F5FC6"/>
    <w:rsid w:val="007F7E8F"/>
    <w:rsid w:val="0080461F"/>
    <w:rsid w:val="008130B6"/>
    <w:rsid w:val="00813426"/>
    <w:rsid w:val="00821FA9"/>
    <w:rsid w:val="008250F5"/>
    <w:rsid w:val="00825133"/>
    <w:rsid w:val="00825932"/>
    <w:rsid w:val="00826F88"/>
    <w:rsid w:val="00830010"/>
    <w:rsid w:val="00833122"/>
    <w:rsid w:val="00837DB9"/>
    <w:rsid w:val="00841A49"/>
    <w:rsid w:val="0084624B"/>
    <w:rsid w:val="0085166A"/>
    <w:rsid w:val="008556F4"/>
    <w:rsid w:val="008564AB"/>
    <w:rsid w:val="008564C1"/>
    <w:rsid w:val="0085699F"/>
    <w:rsid w:val="00856E16"/>
    <w:rsid w:val="00864878"/>
    <w:rsid w:val="00864E57"/>
    <w:rsid w:val="0086565C"/>
    <w:rsid w:val="00865D58"/>
    <w:rsid w:val="008716EF"/>
    <w:rsid w:val="008765D5"/>
    <w:rsid w:val="00877A12"/>
    <w:rsid w:val="00884407"/>
    <w:rsid w:val="00885896"/>
    <w:rsid w:val="00886CEB"/>
    <w:rsid w:val="00887574"/>
    <w:rsid w:val="008907A0"/>
    <w:rsid w:val="0089431B"/>
    <w:rsid w:val="008950BC"/>
    <w:rsid w:val="008A2106"/>
    <w:rsid w:val="008A3316"/>
    <w:rsid w:val="008A3897"/>
    <w:rsid w:val="008A3D1F"/>
    <w:rsid w:val="008A4F3F"/>
    <w:rsid w:val="008A631C"/>
    <w:rsid w:val="008B4EFA"/>
    <w:rsid w:val="008B6EBF"/>
    <w:rsid w:val="008C3AE2"/>
    <w:rsid w:val="008C5D3A"/>
    <w:rsid w:val="008C6BEB"/>
    <w:rsid w:val="008C772A"/>
    <w:rsid w:val="008D003B"/>
    <w:rsid w:val="008D22F5"/>
    <w:rsid w:val="008D29FB"/>
    <w:rsid w:val="008D4CF0"/>
    <w:rsid w:val="008D5F3A"/>
    <w:rsid w:val="008D6DBC"/>
    <w:rsid w:val="008D6FC4"/>
    <w:rsid w:val="008E1C0C"/>
    <w:rsid w:val="008E40D2"/>
    <w:rsid w:val="008E4B2F"/>
    <w:rsid w:val="008F269A"/>
    <w:rsid w:val="008F3496"/>
    <w:rsid w:val="008F50E5"/>
    <w:rsid w:val="008F6172"/>
    <w:rsid w:val="008F796D"/>
    <w:rsid w:val="008F7D30"/>
    <w:rsid w:val="009052AB"/>
    <w:rsid w:val="00917921"/>
    <w:rsid w:val="00917DB6"/>
    <w:rsid w:val="00924F41"/>
    <w:rsid w:val="00930473"/>
    <w:rsid w:val="00932867"/>
    <w:rsid w:val="00935822"/>
    <w:rsid w:val="009379E7"/>
    <w:rsid w:val="00940DCE"/>
    <w:rsid w:val="00941233"/>
    <w:rsid w:val="009429A9"/>
    <w:rsid w:val="00946D21"/>
    <w:rsid w:val="00947507"/>
    <w:rsid w:val="00947620"/>
    <w:rsid w:val="00951EEA"/>
    <w:rsid w:val="00952A01"/>
    <w:rsid w:val="009534D2"/>
    <w:rsid w:val="00955AB4"/>
    <w:rsid w:val="00962A65"/>
    <w:rsid w:val="0096587C"/>
    <w:rsid w:val="00970EB6"/>
    <w:rsid w:val="009719EF"/>
    <w:rsid w:val="009817C0"/>
    <w:rsid w:val="00981EC7"/>
    <w:rsid w:val="00982017"/>
    <w:rsid w:val="00983032"/>
    <w:rsid w:val="00983623"/>
    <w:rsid w:val="009837DE"/>
    <w:rsid w:val="00996DF5"/>
    <w:rsid w:val="009A40D0"/>
    <w:rsid w:val="009B1009"/>
    <w:rsid w:val="009B51B1"/>
    <w:rsid w:val="009B524A"/>
    <w:rsid w:val="009B6A3F"/>
    <w:rsid w:val="009C2B07"/>
    <w:rsid w:val="009C44D3"/>
    <w:rsid w:val="009C7541"/>
    <w:rsid w:val="009C7F6E"/>
    <w:rsid w:val="009D2167"/>
    <w:rsid w:val="009D26F2"/>
    <w:rsid w:val="009D44A2"/>
    <w:rsid w:val="009D751B"/>
    <w:rsid w:val="009D7B53"/>
    <w:rsid w:val="009F4C5B"/>
    <w:rsid w:val="009F60C3"/>
    <w:rsid w:val="00A0096F"/>
    <w:rsid w:val="00A06254"/>
    <w:rsid w:val="00A0682A"/>
    <w:rsid w:val="00A07D1C"/>
    <w:rsid w:val="00A1684A"/>
    <w:rsid w:val="00A1773E"/>
    <w:rsid w:val="00A21B94"/>
    <w:rsid w:val="00A23D45"/>
    <w:rsid w:val="00A314B3"/>
    <w:rsid w:val="00A3178C"/>
    <w:rsid w:val="00A33345"/>
    <w:rsid w:val="00A33BD9"/>
    <w:rsid w:val="00A34E58"/>
    <w:rsid w:val="00A41699"/>
    <w:rsid w:val="00A42A3C"/>
    <w:rsid w:val="00A43C35"/>
    <w:rsid w:val="00A44166"/>
    <w:rsid w:val="00A44889"/>
    <w:rsid w:val="00A5072F"/>
    <w:rsid w:val="00A52D52"/>
    <w:rsid w:val="00A56487"/>
    <w:rsid w:val="00A56CB7"/>
    <w:rsid w:val="00A60DB2"/>
    <w:rsid w:val="00A6500A"/>
    <w:rsid w:val="00A705AD"/>
    <w:rsid w:val="00A747B0"/>
    <w:rsid w:val="00A74E17"/>
    <w:rsid w:val="00A76943"/>
    <w:rsid w:val="00A915BB"/>
    <w:rsid w:val="00A933A1"/>
    <w:rsid w:val="00A96448"/>
    <w:rsid w:val="00AA0746"/>
    <w:rsid w:val="00AA0916"/>
    <w:rsid w:val="00AA22F1"/>
    <w:rsid w:val="00AA64D3"/>
    <w:rsid w:val="00AB0630"/>
    <w:rsid w:val="00AB20D7"/>
    <w:rsid w:val="00AB3E29"/>
    <w:rsid w:val="00AB4DD9"/>
    <w:rsid w:val="00AB5512"/>
    <w:rsid w:val="00AB70F3"/>
    <w:rsid w:val="00AC157C"/>
    <w:rsid w:val="00AC1FB1"/>
    <w:rsid w:val="00AC2931"/>
    <w:rsid w:val="00AC2D92"/>
    <w:rsid w:val="00AD0104"/>
    <w:rsid w:val="00AD140C"/>
    <w:rsid w:val="00AD71CF"/>
    <w:rsid w:val="00AE189D"/>
    <w:rsid w:val="00AE3D77"/>
    <w:rsid w:val="00AF0B85"/>
    <w:rsid w:val="00AF502F"/>
    <w:rsid w:val="00B016FC"/>
    <w:rsid w:val="00B0182F"/>
    <w:rsid w:val="00B05E26"/>
    <w:rsid w:val="00B14EF5"/>
    <w:rsid w:val="00B154F6"/>
    <w:rsid w:val="00B161A3"/>
    <w:rsid w:val="00B2357A"/>
    <w:rsid w:val="00B259C0"/>
    <w:rsid w:val="00B41CD3"/>
    <w:rsid w:val="00B46D30"/>
    <w:rsid w:val="00B46F0D"/>
    <w:rsid w:val="00B46FD9"/>
    <w:rsid w:val="00B47691"/>
    <w:rsid w:val="00B5353C"/>
    <w:rsid w:val="00B54335"/>
    <w:rsid w:val="00B54612"/>
    <w:rsid w:val="00B6310E"/>
    <w:rsid w:val="00B67515"/>
    <w:rsid w:val="00B710CB"/>
    <w:rsid w:val="00B75DB5"/>
    <w:rsid w:val="00B75DE6"/>
    <w:rsid w:val="00B76C14"/>
    <w:rsid w:val="00B76DBE"/>
    <w:rsid w:val="00B76DE1"/>
    <w:rsid w:val="00B8371D"/>
    <w:rsid w:val="00B8577A"/>
    <w:rsid w:val="00B868DD"/>
    <w:rsid w:val="00B91578"/>
    <w:rsid w:val="00B93489"/>
    <w:rsid w:val="00B937CA"/>
    <w:rsid w:val="00BA4248"/>
    <w:rsid w:val="00BB0B26"/>
    <w:rsid w:val="00BB15CE"/>
    <w:rsid w:val="00BB17A5"/>
    <w:rsid w:val="00BB4D2C"/>
    <w:rsid w:val="00BB5797"/>
    <w:rsid w:val="00BB60C7"/>
    <w:rsid w:val="00BB70A6"/>
    <w:rsid w:val="00BC40FE"/>
    <w:rsid w:val="00BD0980"/>
    <w:rsid w:val="00BD49BB"/>
    <w:rsid w:val="00BD637F"/>
    <w:rsid w:val="00BE09D8"/>
    <w:rsid w:val="00BF13EA"/>
    <w:rsid w:val="00BF4D8B"/>
    <w:rsid w:val="00C00321"/>
    <w:rsid w:val="00C0390D"/>
    <w:rsid w:val="00C068A6"/>
    <w:rsid w:val="00C06A80"/>
    <w:rsid w:val="00C12359"/>
    <w:rsid w:val="00C14775"/>
    <w:rsid w:val="00C15FD0"/>
    <w:rsid w:val="00C16C37"/>
    <w:rsid w:val="00C226E5"/>
    <w:rsid w:val="00C257E7"/>
    <w:rsid w:val="00C26DB3"/>
    <w:rsid w:val="00C301E9"/>
    <w:rsid w:val="00C3409C"/>
    <w:rsid w:val="00C3618F"/>
    <w:rsid w:val="00C413EE"/>
    <w:rsid w:val="00C42055"/>
    <w:rsid w:val="00C46DD1"/>
    <w:rsid w:val="00C47FAA"/>
    <w:rsid w:val="00C516CF"/>
    <w:rsid w:val="00C5313A"/>
    <w:rsid w:val="00C53370"/>
    <w:rsid w:val="00C57D88"/>
    <w:rsid w:val="00C61635"/>
    <w:rsid w:val="00C675F4"/>
    <w:rsid w:val="00C70A8C"/>
    <w:rsid w:val="00C720A1"/>
    <w:rsid w:val="00C7397C"/>
    <w:rsid w:val="00C75183"/>
    <w:rsid w:val="00C765DB"/>
    <w:rsid w:val="00C8094F"/>
    <w:rsid w:val="00C80FB1"/>
    <w:rsid w:val="00C81CD4"/>
    <w:rsid w:val="00C86B32"/>
    <w:rsid w:val="00C90DE8"/>
    <w:rsid w:val="00C92615"/>
    <w:rsid w:val="00C96159"/>
    <w:rsid w:val="00CA236C"/>
    <w:rsid w:val="00CA3001"/>
    <w:rsid w:val="00CA36A3"/>
    <w:rsid w:val="00CB05E5"/>
    <w:rsid w:val="00CB23DF"/>
    <w:rsid w:val="00CB5D0E"/>
    <w:rsid w:val="00CB74DA"/>
    <w:rsid w:val="00CC05DF"/>
    <w:rsid w:val="00CC470F"/>
    <w:rsid w:val="00CD448D"/>
    <w:rsid w:val="00CD5847"/>
    <w:rsid w:val="00CD6139"/>
    <w:rsid w:val="00CD67D3"/>
    <w:rsid w:val="00CE33A1"/>
    <w:rsid w:val="00CE43E8"/>
    <w:rsid w:val="00CE6F4F"/>
    <w:rsid w:val="00CF58BD"/>
    <w:rsid w:val="00CF7258"/>
    <w:rsid w:val="00D010F2"/>
    <w:rsid w:val="00D01545"/>
    <w:rsid w:val="00D03EC7"/>
    <w:rsid w:val="00D04834"/>
    <w:rsid w:val="00D04BAC"/>
    <w:rsid w:val="00D06A06"/>
    <w:rsid w:val="00D141F2"/>
    <w:rsid w:val="00D14E7C"/>
    <w:rsid w:val="00D153D2"/>
    <w:rsid w:val="00D26FF5"/>
    <w:rsid w:val="00D3290E"/>
    <w:rsid w:val="00D33AEC"/>
    <w:rsid w:val="00D33F87"/>
    <w:rsid w:val="00D40736"/>
    <w:rsid w:val="00D410AE"/>
    <w:rsid w:val="00D41720"/>
    <w:rsid w:val="00D522F5"/>
    <w:rsid w:val="00D54B54"/>
    <w:rsid w:val="00D57406"/>
    <w:rsid w:val="00D601C5"/>
    <w:rsid w:val="00D60702"/>
    <w:rsid w:val="00D6134C"/>
    <w:rsid w:val="00D62256"/>
    <w:rsid w:val="00D639A3"/>
    <w:rsid w:val="00D64014"/>
    <w:rsid w:val="00D66479"/>
    <w:rsid w:val="00D70676"/>
    <w:rsid w:val="00D7134E"/>
    <w:rsid w:val="00D7146A"/>
    <w:rsid w:val="00D766F5"/>
    <w:rsid w:val="00D80015"/>
    <w:rsid w:val="00D8219F"/>
    <w:rsid w:val="00D8289C"/>
    <w:rsid w:val="00D8531F"/>
    <w:rsid w:val="00D87952"/>
    <w:rsid w:val="00D94BC8"/>
    <w:rsid w:val="00D95A25"/>
    <w:rsid w:val="00D95CC1"/>
    <w:rsid w:val="00D96D93"/>
    <w:rsid w:val="00DA2AAF"/>
    <w:rsid w:val="00DB2208"/>
    <w:rsid w:val="00DC4837"/>
    <w:rsid w:val="00DD00DE"/>
    <w:rsid w:val="00DD2752"/>
    <w:rsid w:val="00DD38F9"/>
    <w:rsid w:val="00DD61CD"/>
    <w:rsid w:val="00DD6E37"/>
    <w:rsid w:val="00DD6ED4"/>
    <w:rsid w:val="00DE04D5"/>
    <w:rsid w:val="00DE08F1"/>
    <w:rsid w:val="00DE3F1B"/>
    <w:rsid w:val="00DE5467"/>
    <w:rsid w:val="00DF3DC5"/>
    <w:rsid w:val="00E01AB2"/>
    <w:rsid w:val="00E02DAC"/>
    <w:rsid w:val="00E0430D"/>
    <w:rsid w:val="00E05F57"/>
    <w:rsid w:val="00E10818"/>
    <w:rsid w:val="00E11847"/>
    <w:rsid w:val="00E136B9"/>
    <w:rsid w:val="00E16ACF"/>
    <w:rsid w:val="00E1727D"/>
    <w:rsid w:val="00E2068E"/>
    <w:rsid w:val="00E22F61"/>
    <w:rsid w:val="00E2318D"/>
    <w:rsid w:val="00E23843"/>
    <w:rsid w:val="00E30511"/>
    <w:rsid w:val="00E30B1A"/>
    <w:rsid w:val="00E312F3"/>
    <w:rsid w:val="00E31B6A"/>
    <w:rsid w:val="00E324EB"/>
    <w:rsid w:val="00E333F0"/>
    <w:rsid w:val="00E40A3E"/>
    <w:rsid w:val="00E430F6"/>
    <w:rsid w:val="00E50FB6"/>
    <w:rsid w:val="00E51362"/>
    <w:rsid w:val="00E535F1"/>
    <w:rsid w:val="00E55CE2"/>
    <w:rsid w:val="00E56AD7"/>
    <w:rsid w:val="00E60379"/>
    <w:rsid w:val="00E65F33"/>
    <w:rsid w:val="00E70512"/>
    <w:rsid w:val="00E71C45"/>
    <w:rsid w:val="00E86CBB"/>
    <w:rsid w:val="00E922C6"/>
    <w:rsid w:val="00E9242D"/>
    <w:rsid w:val="00E95A06"/>
    <w:rsid w:val="00EA735C"/>
    <w:rsid w:val="00EA7492"/>
    <w:rsid w:val="00EB3A6F"/>
    <w:rsid w:val="00EB463D"/>
    <w:rsid w:val="00EB4E37"/>
    <w:rsid w:val="00EB662F"/>
    <w:rsid w:val="00EC0D6C"/>
    <w:rsid w:val="00EC7B8A"/>
    <w:rsid w:val="00ED6779"/>
    <w:rsid w:val="00ED6E0F"/>
    <w:rsid w:val="00EE002F"/>
    <w:rsid w:val="00EE1E44"/>
    <w:rsid w:val="00EF07FA"/>
    <w:rsid w:val="00F00687"/>
    <w:rsid w:val="00F05BAB"/>
    <w:rsid w:val="00F1245D"/>
    <w:rsid w:val="00F20F99"/>
    <w:rsid w:val="00F32189"/>
    <w:rsid w:val="00F33E9A"/>
    <w:rsid w:val="00F4069E"/>
    <w:rsid w:val="00F5156F"/>
    <w:rsid w:val="00F52565"/>
    <w:rsid w:val="00F56011"/>
    <w:rsid w:val="00F60B45"/>
    <w:rsid w:val="00F60FC0"/>
    <w:rsid w:val="00F6317E"/>
    <w:rsid w:val="00F65E9A"/>
    <w:rsid w:val="00F71971"/>
    <w:rsid w:val="00F71A11"/>
    <w:rsid w:val="00F73426"/>
    <w:rsid w:val="00F7420C"/>
    <w:rsid w:val="00F802AC"/>
    <w:rsid w:val="00F80CAB"/>
    <w:rsid w:val="00F822B4"/>
    <w:rsid w:val="00F82D38"/>
    <w:rsid w:val="00F86867"/>
    <w:rsid w:val="00FA0B94"/>
    <w:rsid w:val="00FA3054"/>
    <w:rsid w:val="00FA36BA"/>
    <w:rsid w:val="00FA3A38"/>
    <w:rsid w:val="00FA47FE"/>
    <w:rsid w:val="00FB1902"/>
    <w:rsid w:val="00FC7887"/>
    <w:rsid w:val="00FC78C2"/>
    <w:rsid w:val="00FD1B4D"/>
    <w:rsid w:val="00FD4830"/>
    <w:rsid w:val="00FD550E"/>
    <w:rsid w:val="00FE53E6"/>
    <w:rsid w:val="00FE5BEE"/>
    <w:rsid w:val="00FF0907"/>
    <w:rsid w:val="00FF0ACE"/>
    <w:rsid w:val="00FF1A44"/>
    <w:rsid w:val="00FF1ED6"/>
    <w:rsid w:val="00FF32C7"/>
    <w:rsid w:val="00FF59AC"/>
    <w:rsid w:val="00FF5AF4"/>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5CB"/>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85467202">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86261020">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73147319">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te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pten.eu/professional" TargetMode="External"/><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hyperlink" Target="https://ec.europa.eu/programmes/horizon2020" TargetMode="External"/><Relationship Id="rId10" Type="http://schemas.openxmlformats.org/officeDocument/2006/relationships/image" Target="media/image2.jpeg"/><Relationship Id="rId19" Type="http://schemas.openxmlformats.org/officeDocument/2006/relationships/hyperlink" Target="http://www.topten.eu/pro" TargetMode="External"/><Relationship Id="rId4" Type="http://schemas.openxmlformats.org/officeDocument/2006/relationships/settings" Target="settings.xml"/><Relationship Id="rId9" Type="http://schemas.openxmlformats.org/officeDocument/2006/relationships/hyperlink" Target="mailto:steffen.hepp@topten.ch" TargetMode="External"/><Relationship Id="rId14" Type="http://schemas.openxmlformats.org/officeDocument/2006/relationships/hyperlink" Target="https://www.topten.eu/private/selection-criteria/vacuum-cleaners"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753</Words>
  <Characters>4295</Characters>
  <Application>Microsoft Office Word</Application>
  <DocSecurity>0</DocSecurity>
  <Lines>35</Lines>
  <Paragraphs>10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vt:lpstr>
      <vt:lpstr>Procurement Guideline Dishwashers</vt:lpstr>
      <vt:lpstr>Topten Monitors</vt:lpstr>
    </vt:vector>
  </TitlesOfParts>
  <Manager/>
  <Company/>
  <LinksUpToDate>false</LinksUpToDate>
  <CharactersWithSpaces>5038</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286</cp:revision>
  <cp:lastPrinted>2022-03-21T14:46:00Z</cp:lastPrinted>
  <dcterms:created xsi:type="dcterms:W3CDTF">2021-06-17T06:42:00Z</dcterms:created>
  <dcterms:modified xsi:type="dcterms:W3CDTF">2022-03-21T14:46:00Z</dcterms:modified>
  <cp:category/>
</cp:coreProperties>
</file>